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5361" w14:textId="77777777" w:rsidR="003A0DD3" w:rsidRDefault="003A0DD3" w:rsidP="003A0DD3">
      <w:pPr>
        <w:pStyle w:val="Title"/>
        <w:jc w:val="left"/>
        <w:rPr>
          <w:sz w:val="52"/>
          <w:lang w:eastAsia="en-GB"/>
        </w:rPr>
      </w:pPr>
    </w:p>
    <w:p w14:paraId="53B3A117" w14:textId="77777777" w:rsidR="003A0DD3" w:rsidRDefault="003A0DD3" w:rsidP="003A0DD3">
      <w:pPr>
        <w:pStyle w:val="Title"/>
        <w:jc w:val="left"/>
        <w:rPr>
          <w:sz w:val="52"/>
          <w:lang w:eastAsia="en-GB"/>
        </w:rPr>
      </w:pPr>
    </w:p>
    <w:p w14:paraId="0EB38A9D" w14:textId="15D52694" w:rsidR="003A0DD3" w:rsidRPr="003A0DD3" w:rsidRDefault="003A0DD3" w:rsidP="003A0DD3">
      <w:pPr>
        <w:pStyle w:val="Title"/>
        <w:jc w:val="left"/>
        <w:rPr>
          <w:sz w:val="52"/>
          <w:lang w:eastAsia="en-GB"/>
        </w:rPr>
      </w:pPr>
      <w:r>
        <w:rPr>
          <w:sz w:val="52"/>
          <w:lang w:eastAsia="en-GB"/>
        </w:rPr>
        <w:t xml:space="preserve">Raportti </w:t>
      </w:r>
      <w:r w:rsidR="00A91DE7">
        <w:rPr>
          <w:sz w:val="52"/>
          <w:lang w:eastAsia="en-GB"/>
        </w:rPr>
        <w:t>Malli</w:t>
      </w:r>
      <w:r w:rsidR="0014733B">
        <w:rPr>
          <w:sz w:val="52"/>
          <w:lang w:eastAsia="en-GB"/>
        </w:rPr>
        <w:t xml:space="preserve"> Oy:n</w:t>
      </w:r>
      <w:r>
        <w:rPr>
          <w:sz w:val="52"/>
          <w:lang w:eastAsia="en-GB"/>
        </w:rPr>
        <w:t xml:space="preserve"> </w:t>
      </w:r>
      <w:r w:rsidR="004557A8" w:rsidRPr="003A0DD3">
        <w:rPr>
          <w:sz w:val="52"/>
          <w:lang w:eastAsia="en-GB"/>
        </w:rPr>
        <w:t>kypsyysmallityöp</w:t>
      </w:r>
      <w:r>
        <w:rPr>
          <w:sz w:val="52"/>
          <w:lang w:eastAsia="en-GB"/>
        </w:rPr>
        <w:t>ajasta ja kehitysehdotuksista</w:t>
      </w:r>
    </w:p>
    <w:p w14:paraId="2B875B1B" w14:textId="524A7660" w:rsidR="003A0DD3" w:rsidRPr="003A0DD3" w:rsidRDefault="004557A8" w:rsidP="00050301">
      <w:pPr>
        <w:rPr>
          <w:lang w:eastAsia="en-GB"/>
        </w:rPr>
      </w:pPr>
      <w:r w:rsidRPr="003A0DD3">
        <w:rPr>
          <w:lang w:eastAsia="en-GB"/>
        </w:rPr>
        <w:t xml:space="preserve">Työpaja: </w:t>
      </w:r>
      <w:r w:rsidR="00A91DE7">
        <w:rPr>
          <w:lang w:eastAsia="en-GB"/>
        </w:rPr>
        <w:t>xx</w:t>
      </w:r>
      <w:r w:rsidRPr="003A0DD3">
        <w:rPr>
          <w:lang w:eastAsia="en-GB"/>
        </w:rPr>
        <w:t>.</w:t>
      </w:r>
      <w:r w:rsidR="00A91DE7">
        <w:rPr>
          <w:lang w:eastAsia="en-GB"/>
        </w:rPr>
        <w:t>xx</w:t>
      </w:r>
      <w:r w:rsidRPr="003A0DD3">
        <w:rPr>
          <w:lang w:eastAsia="en-GB"/>
        </w:rPr>
        <w:t>.202</w:t>
      </w:r>
      <w:r w:rsidR="00A91DE7">
        <w:rPr>
          <w:lang w:eastAsia="en-GB"/>
        </w:rPr>
        <w:t>x</w:t>
      </w:r>
      <w:r w:rsidR="009419A6">
        <w:rPr>
          <w:lang w:eastAsia="en-GB"/>
        </w:rPr>
        <w:t xml:space="preserve"> klo 9.00 -1</w:t>
      </w:r>
      <w:r w:rsidR="00A91DE7">
        <w:rPr>
          <w:lang w:eastAsia="en-GB"/>
        </w:rPr>
        <w:t>2</w:t>
      </w:r>
      <w:r w:rsidR="009419A6">
        <w:rPr>
          <w:lang w:eastAsia="en-GB"/>
        </w:rPr>
        <w:t>.</w:t>
      </w:r>
      <w:r w:rsidR="00A91DE7">
        <w:rPr>
          <w:lang w:eastAsia="en-GB"/>
        </w:rPr>
        <w:t>00</w:t>
      </w:r>
    </w:p>
    <w:p w14:paraId="20DD37C7" w14:textId="1F54494F" w:rsidR="004557A8" w:rsidRPr="003A0DD3" w:rsidRDefault="004557A8" w:rsidP="00050301">
      <w:pPr>
        <w:rPr>
          <w:lang w:eastAsia="en-GB"/>
        </w:rPr>
      </w:pPr>
      <w:r w:rsidRPr="003A0DD3">
        <w:rPr>
          <w:lang w:eastAsia="en-GB"/>
        </w:rPr>
        <w:t>Paikalla</w:t>
      </w:r>
      <w:r w:rsidR="003A0DD3">
        <w:rPr>
          <w:lang w:eastAsia="en-GB"/>
        </w:rPr>
        <w:t xml:space="preserve">: </w:t>
      </w:r>
      <w:r w:rsidR="00A91DE7">
        <w:rPr>
          <w:lang w:eastAsia="en-GB"/>
        </w:rPr>
        <w:t>n</w:t>
      </w:r>
      <w:r w:rsidRPr="003A0DD3">
        <w:rPr>
          <w:lang w:eastAsia="en-GB"/>
        </w:rPr>
        <w:t xml:space="preserve"> osallistujaa </w:t>
      </w:r>
      <w:r w:rsidR="00A91DE7">
        <w:rPr>
          <w:lang w:eastAsia="en-GB"/>
        </w:rPr>
        <w:t>Malli Oy:</w:t>
      </w:r>
      <w:r w:rsidR="009419A6">
        <w:rPr>
          <w:lang w:eastAsia="en-GB"/>
        </w:rPr>
        <w:t>lt</w:t>
      </w:r>
      <w:r w:rsidR="00A91DE7">
        <w:rPr>
          <w:lang w:eastAsia="en-GB"/>
        </w:rPr>
        <w:t>ä</w:t>
      </w:r>
      <w:r w:rsidRPr="003A0DD3">
        <w:rPr>
          <w:lang w:eastAsia="en-GB"/>
        </w:rPr>
        <w:t xml:space="preserve"> ja </w:t>
      </w:r>
      <w:r w:rsidR="00A91DE7">
        <w:rPr>
          <w:lang w:eastAsia="en-GB"/>
        </w:rPr>
        <w:t xml:space="preserve">n </w:t>
      </w:r>
      <w:r w:rsidRPr="003A0DD3">
        <w:rPr>
          <w:lang w:eastAsia="en-GB"/>
        </w:rPr>
        <w:t>fasilitaattori</w:t>
      </w:r>
      <w:r w:rsidR="00A91DE7">
        <w:rPr>
          <w:lang w:eastAsia="en-GB"/>
        </w:rPr>
        <w:t>(a)</w:t>
      </w:r>
      <w:r w:rsidRPr="003A0DD3">
        <w:rPr>
          <w:lang w:eastAsia="en-GB"/>
        </w:rPr>
        <w:t>.</w:t>
      </w:r>
    </w:p>
    <w:p w14:paraId="741B5AEA" w14:textId="0D221E6A" w:rsidR="004557A8" w:rsidRPr="003A0DD3" w:rsidRDefault="0014733B" w:rsidP="0014733B">
      <w:pPr>
        <w:pStyle w:val="paragraph"/>
        <w:jc w:val="both"/>
        <w:textAlignment w:val="baseline"/>
      </w:pPr>
      <w:r>
        <w:rPr>
          <w:rStyle w:val="normaltextrun"/>
          <w:rFonts w:ascii="Calibri" w:hAnsi="Calibri" w:cs="Calibri"/>
          <w:sz w:val="22"/>
          <w:szCs w:val="22"/>
        </w:rPr>
        <w:t xml:space="preserve">Työpajassa käytiin läpi maturiteettimallin 4 osa-alueetta </w:t>
      </w:r>
      <w:r w:rsidR="009419A6">
        <w:rPr>
          <w:rStyle w:val="normaltextrun"/>
          <w:rFonts w:ascii="Calibri" w:hAnsi="Calibri" w:cs="Calibri"/>
          <w:sz w:val="22"/>
          <w:szCs w:val="22"/>
        </w:rPr>
        <w:t>yhdessä</w:t>
      </w:r>
      <w:r w:rsidR="00A91DE7">
        <w:rPr>
          <w:rStyle w:val="normaltextrun"/>
          <w:rFonts w:ascii="Calibri" w:hAnsi="Calibri" w:cs="Calibri"/>
          <w:sz w:val="22"/>
          <w:szCs w:val="22"/>
        </w:rPr>
        <w:t>/kahdessa</w:t>
      </w:r>
      <w:r>
        <w:rPr>
          <w:rStyle w:val="normaltextrun"/>
          <w:rFonts w:ascii="Calibri" w:hAnsi="Calibri" w:cs="Calibri"/>
          <w:sz w:val="22"/>
          <w:szCs w:val="22"/>
        </w:rPr>
        <w:t xml:space="preserve"> pienryhmässä. Kuten alustuksessa todettiin, </w:t>
      </w:r>
      <w:r w:rsidR="00A91DE7">
        <w:rPr>
          <w:rStyle w:val="normaltextrun"/>
          <w:rFonts w:ascii="Calibri" w:hAnsi="Calibri" w:cs="Calibri"/>
          <w:sz w:val="22"/>
          <w:szCs w:val="22"/>
        </w:rPr>
        <w:t xml:space="preserve">työpajan </w:t>
      </w:r>
      <w:r>
        <w:rPr>
          <w:rStyle w:val="normaltextrun"/>
          <w:rFonts w:ascii="Calibri" w:hAnsi="Calibri" w:cs="Calibri"/>
          <w:sz w:val="22"/>
          <w:szCs w:val="22"/>
        </w:rPr>
        <w:t xml:space="preserve">tavoitteena ei ole antaa arvosanaa vaan saada parempi käsitys organisaation kyvykkyyksistä ja kehityskohteista, joilla yrityksen työhyvinvointia ja tekoälyn käyttöönottoa yhdessä voisi parantaa. Täten emme tässä raportissakaan keskity tasoihin. Työpajan osallistujat olivat </w:t>
      </w:r>
      <w:r w:rsidR="00A91DE7">
        <w:rPr>
          <w:rStyle w:val="normaltextrun"/>
          <w:rFonts w:ascii="Calibri" w:hAnsi="Calibri" w:cs="Calibri"/>
          <w:sz w:val="22"/>
          <w:szCs w:val="22"/>
        </w:rPr>
        <w:t>&lt;</w:t>
      </w:r>
      <w:r>
        <w:rPr>
          <w:rStyle w:val="normaltextrun"/>
          <w:rFonts w:ascii="Calibri" w:hAnsi="Calibri" w:cs="Calibri"/>
          <w:sz w:val="22"/>
          <w:szCs w:val="22"/>
        </w:rPr>
        <w:t>johto-</w:t>
      </w:r>
      <w:r w:rsidR="00A91DE7">
        <w:rPr>
          <w:rStyle w:val="normaltextrun"/>
          <w:rFonts w:ascii="Calibri" w:hAnsi="Calibri" w:cs="Calibri"/>
          <w:sz w:val="22"/>
          <w:szCs w:val="22"/>
        </w:rPr>
        <w:t>/</w:t>
      </w:r>
      <w:r>
        <w:rPr>
          <w:rStyle w:val="normaltextrun"/>
          <w:rFonts w:ascii="Calibri" w:hAnsi="Calibri" w:cs="Calibri"/>
          <w:sz w:val="22"/>
          <w:szCs w:val="22"/>
        </w:rPr>
        <w:t xml:space="preserve"> asiantuntija</w:t>
      </w:r>
      <w:r w:rsidR="00A91DE7">
        <w:rPr>
          <w:rStyle w:val="normaltextrun"/>
          <w:rFonts w:ascii="Calibri" w:hAnsi="Calibri" w:cs="Calibri"/>
          <w:sz w:val="22"/>
          <w:szCs w:val="22"/>
        </w:rPr>
        <w:t xml:space="preserve">/suorittavissa </w:t>
      </w:r>
      <w:r>
        <w:rPr>
          <w:rStyle w:val="normaltextrun"/>
          <w:rFonts w:ascii="Calibri" w:hAnsi="Calibri" w:cs="Calibri"/>
          <w:sz w:val="22"/>
          <w:szCs w:val="22"/>
        </w:rPr>
        <w:t>tehtävissä</w:t>
      </w:r>
      <w:r w:rsidR="00A91DE7">
        <w:rPr>
          <w:rStyle w:val="normaltextrun"/>
          <w:rFonts w:ascii="Calibri" w:hAnsi="Calibri" w:cs="Calibri"/>
          <w:sz w:val="22"/>
          <w:szCs w:val="22"/>
        </w:rPr>
        <w:t>&gt;</w:t>
      </w:r>
      <w:r>
        <w:rPr>
          <w:rStyle w:val="normaltextrun"/>
          <w:rFonts w:ascii="Calibri" w:hAnsi="Calibri" w:cs="Calibri"/>
          <w:sz w:val="22"/>
          <w:szCs w:val="22"/>
        </w:rPr>
        <w:t xml:space="preserve"> toimivia, </w:t>
      </w:r>
      <w:r w:rsidR="00A91DE7">
        <w:rPr>
          <w:rStyle w:val="normaltextrun"/>
          <w:rFonts w:ascii="Calibri" w:hAnsi="Calibri" w:cs="Calibri"/>
          <w:sz w:val="22"/>
          <w:szCs w:val="22"/>
        </w:rPr>
        <w:t>&lt;muiden&gt;</w:t>
      </w:r>
      <w:r>
        <w:rPr>
          <w:rStyle w:val="normaltextrun"/>
          <w:rFonts w:ascii="Calibri" w:hAnsi="Calibri" w:cs="Calibri"/>
          <w:sz w:val="22"/>
          <w:szCs w:val="22"/>
        </w:rPr>
        <w:t xml:space="preserve"> näkemykset tulevat vain epäsuorasti esille.</w:t>
      </w:r>
      <w:r>
        <w:rPr>
          <w:rStyle w:val="eop"/>
          <w:rFonts w:ascii="Calibri" w:hAnsi="Calibri" w:cs="Calibri"/>
          <w:sz w:val="22"/>
          <w:szCs w:val="22"/>
        </w:rPr>
        <w:t> </w:t>
      </w:r>
    </w:p>
    <w:p w14:paraId="587BAE9B" w14:textId="77777777" w:rsidR="004557A8" w:rsidRPr="003A0DD3" w:rsidRDefault="004557A8" w:rsidP="00050301">
      <w:pPr>
        <w:rPr>
          <w:lang w:eastAsia="en-GB"/>
        </w:rPr>
      </w:pPr>
      <w:r w:rsidRPr="003A0DD3">
        <w:rPr>
          <w:lang w:eastAsia="en-GB"/>
        </w:rPr>
        <w:br w:type="page"/>
      </w:r>
    </w:p>
    <w:p w14:paraId="1BE643DB" w14:textId="5D5DCC64" w:rsidR="004557A8" w:rsidRPr="003A0DD3" w:rsidRDefault="004557A8" w:rsidP="00050301">
      <w:pPr>
        <w:pStyle w:val="Heading1"/>
        <w:rPr>
          <w:lang w:eastAsia="en-GB"/>
        </w:rPr>
      </w:pPr>
      <w:r w:rsidRPr="003A0DD3">
        <w:rPr>
          <w:lang w:eastAsia="en-GB"/>
        </w:rPr>
        <w:lastRenderedPageBreak/>
        <w:t>Tekoälykyvykkyys</w:t>
      </w:r>
    </w:p>
    <w:p w14:paraId="23A213E5" w14:textId="712BFA3D" w:rsidR="004557A8" w:rsidRPr="003A0DD3" w:rsidRDefault="00A91DE7" w:rsidP="009419A6">
      <w:pPr>
        <w:rPr>
          <w:lang w:eastAsia="en-GB"/>
        </w:rPr>
      </w:pPr>
      <w:r>
        <w:rPr>
          <w:lang w:eastAsia="en-GB"/>
        </w:rPr>
        <w:t>Malli Oy:</w:t>
      </w:r>
      <w:r w:rsidR="009419A6">
        <w:rPr>
          <w:lang w:eastAsia="en-GB"/>
        </w:rPr>
        <w:t>n</w:t>
      </w:r>
      <w:r w:rsidR="004557A8" w:rsidRPr="003A0DD3">
        <w:rPr>
          <w:lang w:eastAsia="en-GB"/>
        </w:rPr>
        <w:t xml:space="preserve"> tekoälykyvykkyyden arvioi</w:t>
      </w:r>
      <w:r w:rsidR="009419A6">
        <w:rPr>
          <w:lang w:eastAsia="en-GB"/>
        </w:rPr>
        <w:t>nnissa</w:t>
      </w:r>
      <w:r w:rsidR="00863114">
        <w:rPr>
          <w:lang w:eastAsia="en-GB"/>
        </w:rPr>
        <w:t xml:space="preserve">… </w:t>
      </w:r>
      <w:r w:rsidR="00863114" w:rsidRPr="00863114">
        <w:rPr>
          <w:i/>
          <w:iCs/>
          <w:lang w:eastAsia="en-GB"/>
        </w:rPr>
        <w:t xml:space="preserve">luonnehdi käytyä keskustelua </w:t>
      </w:r>
      <w:r w:rsidR="00863114">
        <w:rPr>
          <w:i/>
          <w:iCs/>
          <w:lang w:eastAsia="en-GB"/>
        </w:rPr>
        <w:t xml:space="preserve">eri osa-alueilla n. </w:t>
      </w:r>
      <w:r w:rsidR="00863114" w:rsidRPr="00863114">
        <w:rPr>
          <w:i/>
          <w:iCs/>
          <w:lang w:eastAsia="en-GB"/>
        </w:rPr>
        <w:t>4-6 lauseella.</w:t>
      </w:r>
    </w:p>
    <w:p w14:paraId="1BE20D63" w14:textId="77D5C083" w:rsidR="004557A8" w:rsidRPr="003A0DD3" w:rsidRDefault="004557A8" w:rsidP="00050301">
      <w:r w:rsidRPr="003A0DD3">
        <w:t xml:space="preserve">Taulukko </w:t>
      </w:r>
      <w:fldSimple w:instr=" SEQ Taulukko \* ARABIC ">
        <w:r w:rsidR="00050301" w:rsidRPr="003A0DD3">
          <w:rPr>
            <w:noProof/>
          </w:rPr>
          <w:t>1</w:t>
        </w:r>
      </w:fldSimple>
      <w:r w:rsidRPr="003A0DD3">
        <w:t xml:space="preserve">. </w:t>
      </w:r>
      <w:bookmarkStart w:id="0" w:name="_Hlk194924239"/>
      <w:r w:rsidRPr="003A0DD3">
        <w:t>Kypsyysmallin itsearvio</w:t>
      </w:r>
      <w:r w:rsidR="00050301" w:rsidRPr="003A0DD3">
        <w:t>i</w:t>
      </w:r>
      <w:r w:rsidRPr="003A0DD3">
        <w:t xml:space="preserve">nnin tulokset </w:t>
      </w:r>
      <w:r w:rsidR="00A91DE7">
        <w:t>xx</w:t>
      </w:r>
      <w:r w:rsidRPr="003A0DD3">
        <w:t>.</w:t>
      </w:r>
      <w:r w:rsidR="00A91DE7">
        <w:rPr>
          <w:noProof/>
        </w:rPr>
        <w:t>xx</w:t>
      </w:r>
      <w:r w:rsidRPr="003A0DD3">
        <w:rPr>
          <w:noProof/>
        </w:rPr>
        <w:t>.202</w:t>
      </w:r>
      <w:r w:rsidR="00A91DE7">
        <w:rPr>
          <w:noProof/>
        </w:rPr>
        <w:t>x</w:t>
      </w:r>
      <w:r w:rsidRPr="003A0DD3">
        <w:rPr>
          <w:noProof/>
        </w:rPr>
        <w:t>/Tekoälykyv</w:t>
      </w:r>
      <w:r w:rsidR="00050301" w:rsidRPr="003A0DD3">
        <w:rPr>
          <w:noProof/>
        </w:rPr>
        <w:t>y</w:t>
      </w:r>
      <w:r w:rsidRPr="003A0DD3">
        <w:rPr>
          <w:noProof/>
        </w:rPr>
        <w:t>kkyys</w:t>
      </w:r>
      <w:bookmarkEnd w:id="0"/>
    </w:p>
    <w:tbl>
      <w:tblPr>
        <w:tblStyle w:val="TableGrid1"/>
        <w:tblW w:w="0" w:type="auto"/>
        <w:tblLook w:val="04A0" w:firstRow="1" w:lastRow="0" w:firstColumn="1" w:lastColumn="0" w:noHBand="0" w:noVBand="1"/>
      </w:tblPr>
      <w:tblGrid>
        <w:gridCol w:w="2336"/>
        <w:gridCol w:w="3188"/>
        <w:gridCol w:w="3827"/>
      </w:tblGrid>
      <w:tr w:rsidR="00060524" w:rsidRPr="003A0DD3" w14:paraId="3CB9527E" w14:textId="77777777" w:rsidTr="005F1ED6">
        <w:trPr>
          <w:trHeight w:val="541"/>
        </w:trPr>
        <w:tc>
          <w:tcPr>
            <w:tcW w:w="9351" w:type="dxa"/>
            <w:gridSpan w:val="3"/>
            <w:shd w:val="clear" w:color="auto" w:fill="A6A6A6"/>
          </w:tcPr>
          <w:p w14:paraId="7835A2F4" w14:textId="77777777" w:rsidR="00060524" w:rsidRPr="003A0DD3" w:rsidRDefault="00060524" w:rsidP="005F1ED6">
            <w:pPr>
              <w:rPr>
                <w:lang w:val="fi-FI" w:eastAsia="en-GB"/>
              </w:rPr>
            </w:pPr>
            <w:r w:rsidRPr="003A0DD3">
              <w:rPr>
                <w:lang w:val="fi-FI" w:eastAsia="en-GB"/>
              </w:rPr>
              <w:t xml:space="preserve">Tekoälykyvykkyys </w:t>
            </w:r>
          </w:p>
        </w:tc>
      </w:tr>
      <w:tr w:rsidR="00060524" w:rsidRPr="003A0DD3" w14:paraId="7118A685" w14:textId="77777777" w:rsidTr="005F1ED6">
        <w:trPr>
          <w:trHeight w:val="347"/>
        </w:trPr>
        <w:tc>
          <w:tcPr>
            <w:tcW w:w="2336" w:type="dxa"/>
            <w:shd w:val="clear" w:color="auto" w:fill="D9D9D9"/>
          </w:tcPr>
          <w:p w14:paraId="2C9E7C53" w14:textId="77777777" w:rsidR="00060524" w:rsidRPr="003A0DD3" w:rsidRDefault="00060524" w:rsidP="005F1ED6">
            <w:pPr>
              <w:rPr>
                <w:lang w:val="fi-FI" w:eastAsia="en-GB"/>
              </w:rPr>
            </w:pPr>
            <w:r w:rsidRPr="003A0DD3">
              <w:rPr>
                <w:lang w:val="fi-FI" w:eastAsia="en-GB"/>
              </w:rPr>
              <w:t>Osa-alue</w:t>
            </w:r>
          </w:p>
        </w:tc>
        <w:tc>
          <w:tcPr>
            <w:tcW w:w="3188" w:type="dxa"/>
            <w:shd w:val="clear" w:color="auto" w:fill="D9D9D9"/>
          </w:tcPr>
          <w:p w14:paraId="571439BE" w14:textId="77777777" w:rsidR="00060524" w:rsidRPr="003A0DD3" w:rsidRDefault="00060524" w:rsidP="005F1ED6">
            <w:pPr>
              <w:rPr>
                <w:lang w:val="fi-FI" w:eastAsia="en-GB"/>
              </w:rPr>
            </w:pPr>
            <w:r w:rsidRPr="003A0DD3">
              <w:rPr>
                <w:lang w:val="fi-FI" w:eastAsia="en-GB"/>
              </w:rPr>
              <w:t>Ryhmä 1. arvio</w:t>
            </w:r>
          </w:p>
        </w:tc>
        <w:tc>
          <w:tcPr>
            <w:tcW w:w="3827" w:type="dxa"/>
            <w:shd w:val="clear" w:color="auto" w:fill="D9D9D9"/>
          </w:tcPr>
          <w:p w14:paraId="3DF813B4" w14:textId="77777777" w:rsidR="00060524" w:rsidRPr="003A0DD3" w:rsidRDefault="00060524" w:rsidP="005F1ED6">
            <w:pPr>
              <w:rPr>
                <w:lang w:val="fi-FI" w:eastAsia="en-GB"/>
              </w:rPr>
            </w:pPr>
            <w:r w:rsidRPr="003A0DD3">
              <w:rPr>
                <w:lang w:val="fi-FI" w:eastAsia="en-GB"/>
              </w:rPr>
              <w:t>Ryhmä 2. arvio</w:t>
            </w:r>
          </w:p>
        </w:tc>
      </w:tr>
      <w:tr w:rsidR="00060524" w:rsidRPr="003A0DD3" w14:paraId="745B3DB5" w14:textId="77777777" w:rsidTr="005F1ED6">
        <w:trPr>
          <w:trHeight w:val="347"/>
        </w:trPr>
        <w:tc>
          <w:tcPr>
            <w:tcW w:w="2336" w:type="dxa"/>
          </w:tcPr>
          <w:p w14:paraId="59B93D1E" w14:textId="77777777" w:rsidR="00060524" w:rsidRPr="003A0DD3" w:rsidRDefault="00060524" w:rsidP="005F1ED6">
            <w:pPr>
              <w:rPr>
                <w:lang w:val="fi-FI" w:eastAsia="en-GB"/>
              </w:rPr>
            </w:pPr>
            <w:r w:rsidRPr="003A0DD3">
              <w:rPr>
                <w:lang w:val="fi-FI" w:eastAsia="en-GB"/>
              </w:rPr>
              <w:t>Teknologiaosaaminen</w:t>
            </w:r>
          </w:p>
        </w:tc>
        <w:tc>
          <w:tcPr>
            <w:tcW w:w="3188" w:type="dxa"/>
            <w:shd w:val="clear" w:color="auto" w:fill="C5E0B3"/>
          </w:tcPr>
          <w:p w14:paraId="326A8B08" w14:textId="77777777" w:rsidR="00060524" w:rsidRPr="003A0DD3" w:rsidRDefault="00060524" w:rsidP="005F1ED6">
            <w:pPr>
              <w:rPr>
                <w:lang w:val="fi-FI" w:eastAsia="en-GB"/>
              </w:rPr>
            </w:pPr>
            <w:r w:rsidRPr="003A0DD3">
              <w:rPr>
                <w:lang w:val="fi-FI" w:eastAsia="en-GB"/>
              </w:rPr>
              <w:t>Tasolla 2</w:t>
            </w:r>
          </w:p>
        </w:tc>
        <w:tc>
          <w:tcPr>
            <w:tcW w:w="3827" w:type="dxa"/>
            <w:shd w:val="clear" w:color="auto" w:fill="C5E0B3"/>
          </w:tcPr>
          <w:p w14:paraId="3C64714C" w14:textId="77777777" w:rsidR="00060524" w:rsidRPr="003A0DD3" w:rsidRDefault="00060524" w:rsidP="005F1ED6">
            <w:pPr>
              <w:rPr>
                <w:lang w:val="fi-FI" w:eastAsia="en-GB"/>
              </w:rPr>
            </w:pPr>
            <w:r w:rsidRPr="003A0DD3">
              <w:rPr>
                <w:lang w:val="fi-FI" w:eastAsia="en-GB"/>
              </w:rPr>
              <w:t>Tasolla 2</w:t>
            </w:r>
          </w:p>
        </w:tc>
      </w:tr>
      <w:tr w:rsidR="00060524" w:rsidRPr="003A0DD3" w14:paraId="42E436BA" w14:textId="77777777" w:rsidTr="005F1ED6">
        <w:trPr>
          <w:trHeight w:val="347"/>
        </w:trPr>
        <w:tc>
          <w:tcPr>
            <w:tcW w:w="2336" w:type="dxa"/>
          </w:tcPr>
          <w:p w14:paraId="6B5B456F" w14:textId="77777777" w:rsidR="00060524" w:rsidRPr="003A0DD3" w:rsidRDefault="00060524" w:rsidP="005F1ED6">
            <w:pPr>
              <w:rPr>
                <w:lang w:val="fi-FI" w:eastAsia="en-GB"/>
              </w:rPr>
            </w:pPr>
            <w:r w:rsidRPr="003A0DD3">
              <w:rPr>
                <w:lang w:val="fi-FI" w:eastAsia="en-GB"/>
              </w:rPr>
              <w:t>Ohjaus</w:t>
            </w:r>
          </w:p>
        </w:tc>
        <w:tc>
          <w:tcPr>
            <w:tcW w:w="3188" w:type="dxa"/>
            <w:shd w:val="clear" w:color="auto" w:fill="FFFF00"/>
          </w:tcPr>
          <w:p w14:paraId="278396C2" w14:textId="77777777" w:rsidR="00060524" w:rsidRPr="003A0DD3" w:rsidRDefault="00060524" w:rsidP="005F1ED6">
            <w:pPr>
              <w:rPr>
                <w:lang w:val="fi-FI" w:eastAsia="en-GB"/>
              </w:rPr>
            </w:pPr>
            <w:r w:rsidRPr="003A0DD3">
              <w:rPr>
                <w:lang w:val="fi-FI" w:eastAsia="en-GB"/>
              </w:rPr>
              <w:t>Tasolla 1</w:t>
            </w:r>
          </w:p>
        </w:tc>
        <w:tc>
          <w:tcPr>
            <w:tcW w:w="3827" w:type="dxa"/>
            <w:shd w:val="clear" w:color="auto" w:fill="FFFF00"/>
          </w:tcPr>
          <w:p w14:paraId="7E3B4573" w14:textId="77777777" w:rsidR="00060524" w:rsidRPr="003A0DD3" w:rsidRDefault="00060524" w:rsidP="005F1ED6">
            <w:pPr>
              <w:rPr>
                <w:lang w:val="fi-FI" w:eastAsia="en-GB"/>
              </w:rPr>
            </w:pPr>
            <w:r w:rsidRPr="003A0DD3">
              <w:rPr>
                <w:lang w:val="fi-FI" w:eastAsia="en-GB"/>
              </w:rPr>
              <w:t>Tasolla 1</w:t>
            </w:r>
          </w:p>
        </w:tc>
      </w:tr>
      <w:tr w:rsidR="00060524" w:rsidRPr="003A0DD3" w14:paraId="128EE86F" w14:textId="77777777" w:rsidTr="005F1ED6">
        <w:trPr>
          <w:trHeight w:val="347"/>
        </w:trPr>
        <w:tc>
          <w:tcPr>
            <w:tcW w:w="2336" w:type="dxa"/>
          </w:tcPr>
          <w:p w14:paraId="4814516A" w14:textId="77777777" w:rsidR="00060524" w:rsidRPr="003A0DD3" w:rsidRDefault="00060524" w:rsidP="005F1ED6">
            <w:pPr>
              <w:rPr>
                <w:lang w:val="fi-FI" w:eastAsia="en-GB"/>
              </w:rPr>
            </w:pPr>
            <w:r w:rsidRPr="003A0DD3">
              <w:rPr>
                <w:lang w:val="fi-FI" w:eastAsia="en-GB"/>
              </w:rPr>
              <w:t>Kohdentaminen / Soveltaminen</w:t>
            </w:r>
          </w:p>
        </w:tc>
        <w:tc>
          <w:tcPr>
            <w:tcW w:w="3188" w:type="dxa"/>
            <w:shd w:val="clear" w:color="auto" w:fill="C5E0B3"/>
          </w:tcPr>
          <w:p w14:paraId="4E843329" w14:textId="77777777" w:rsidR="00060524" w:rsidRPr="003A0DD3" w:rsidRDefault="00060524" w:rsidP="005F1ED6">
            <w:pPr>
              <w:rPr>
                <w:lang w:val="fi-FI" w:eastAsia="en-GB"/>
              </w:rPr>
            </w:pPr>
            <w:r w:rsidRPr="003A0DD3">
              <w:rPr>
                <w:lang w:val="fi-FI" w:eastAsia="en-GB"/>
              </w:rPr>
              <w:t>Tasolla 2</w:t>
            </w:r>
          </w:p>
        </w:tc>
        <w:tc>
          <w:tcPr>
            <w:tcW w:w="3827" w:type="dxa"/>
            <w:shd w:val="clear" w:color="auto" w:fill="C5E0B3"/>
          </w:tcPr>
          <w:p w14:paraId="40AB9C10" w14:textId="77777777" w:rsidR="00060524" w:rsidRPr="003A0DD3" w:rsidRDefault="00060524" w:rsidP="005F1ED6">
            <w:pPr>
              <w:rPr>
                <w:lang w:val="fi-FI" w:eastAsia="en-GB"/>
              </w:rPr>
            </w:pPr>
            <w:r w:rsidRPr="003A0DD3">
              <w:rPr>
                <w:lang w:val="fi-FI" w:eastAsia="en-GB"/>
              </w:rPr>
              <w:t>Tasolla 2</w:t>
            </w:r>
          </w:p>
        </w:tc>
      </w:tr>
      <w:tr w:rsidR="00060524" w:rsidRPr="003A0DD3" w14:paraId="1B2EB640" w14:textId="77777777" w:rsidTr="005F1ED6">
        <w:trPr>
          <w:trHeight w:val="347"/>
        </w:trPr>
        <w:tc>
          <w:tcPr>
            <w:tcW w:w="2336" w:type="dxa"/>
          </w:tcPr>
          <w:p w14:paraId="0F779CE7" w14:textId="77777777" w:rsidR="00060524" w:rsidRPr="003A0DD3" w:rsidRDefault="00060524" w:rsidP="005F1ED6">
            <w:pPr>
              <w:rPr>
                <w:lang w:val="fi-FI" w:eastAsia="en-GB"/>
              </w:rPr>
            </w:pPr>
            <w:r w:rsidRPr="003A0DD3">
              <w:rPr>
                <w:lang w:val="fi-FI" w:eastAsia="en-GB"/>
              </w:rPr>
              <w:t>Kustannushallinta</w:t>
            </w:r>
          </w:p>
        </w:tc>
        <w:tc>
          <w:tcPr>
            <w:tcW w:w="3188" w:type="dxa"/>
            <w:shd w:val="clear" w:color="auto" w:fill="A8D08D"/>
          </w:tcPr>
          <w:p w14:paraId="7ACB14B1" w14:textId="77777777" w:rsidR="00060524" w:rsidRPr="003A0DD3" w:rsidRDefault="00060524" w:rsidP="005F1ED6">
            <w:pPr>
              <w:rPr>
                <w:lang w:val="fi-FI" w:eastAsia="en-GB"/>
              </w:rPr>
            </w:pPr>
            <w:r w:rsidRPr="003A0DD3">
              <w:rPr>
                <w:lang w:val="fi-FI" w:eastAsia="en-GB"/>
              </w:rPr>
              <w:t>Tasolla 3</w:t>
            </w:r>
          </w:p>
        </w:tc>
        <w:tc>
          <w:tcPr>
            <w:tcW w:w="3827" w:type="dxa"/>
            <w:shd w:val="clear" w:color="auto" w:fill="C5E0B3"/>
          </w:tcPr>
          <w:p w14:paraId="5BE5D524" w14:textId="77777777" w:rsidR="00060524" w:rsidRPr="003A0DD3" w:rsidRDefault="00060524" w:rsidP="005F1ED6">
            <w:pPr>
              <w:rPr>
                <w:lang w:val="fi-FI" w:eastAsia="en-GB"/>
              </w:rPr>
            </w:pPr>
            <w:r w:rsidRPr="003A0DD3">
              <w:rPr>
                <w:lang w:val="fi-FI" w:eastAsia="en-GB"/>
              </w:rPr>
              <w:t>Tasolla 2</w:t>
            </w:r>
          </w:p>
        </w:tc>
      </w:tr>
    </w:tbl>
    <w:p w14:paraId="62E7495B" w14:textId="77777777" w:rsidR="009419A6" w:rsidRDefault="009419A6" w:rsidP="00050301">
      <w:pPr>
        <w:rPr>
          <w:lang w:eastAsia="en-GB"/>
        </w:rPr>
      </w:pPr>
    </w:p>
    <w:p w14:paraId="5F03AC59" w14:textId="08C165CD" w:rsidR="00F91205" w:rsidRDefault="00F91205" w:rsidP="00F91205">
      <w:pPr>
        <w:pStyle w:val="Heading2"/>
      </w:pPr>
      <w:r w:rsidRPr="003A0DD3">
        <w:t>Kehitysehdotuksia</w:t>
      </w:r>
      <w:r>
        <w:t>:</w:t>
      </w:r>
    </w:p>
    <w:p w14:paraId="07E83BBB" w14:textId="55768F36" w:rsidR="004557A8" w:rsidRPr="003A0DD3" w:rsidRDefault="0043147A" w:rsidP="00050301">
      <w:pPr>
        <w:rPr>
          <w:lang w:eastAsia="en-GB"/>
        </w:rPr>
      </w:pPr>
      <w:r>
        <w:rPr>
          <w:lang w:eastAsia="en-GB"/>
        </w:rPr>
        <w:t>S</w:t>
      </w:r>
      <w:r w:rsidR="00DC1819">
        <w:rPr>
          <w:lang w:eastAsia="en-GB"/>
        </w:rPr>
        <w:t xml:space="preserve">euraavassa </w:t>
      </w:r>
      <w:r>
        <w:rPr>
          <w:lang w:eastAsia="en-GB"/>
        </w:rPr>
        <w:t xml:space="preserve">myös </w:t>
      </w:r>
      <w:r w:rsidR="00DC1819">
        <w:rPr>
          <w:lang w:eastAsia="en-GB"/>
        </w:rPr>
        <w:t>l</w:t>
      </w:r>
      <w:r w:rsidR="004557A8" w:rsidRPr="003A0DD3">
        <w:rPr>
          <w:lang w:eastAsia="en-GB"/>
        </w:rPr>
        <w:t xml:space="preserve">inkkejä </w:t>
      </w:r>
      <w:r w:rsidR="00467805" w:rsidRPr="003A0DD3">
        <w:rPr>
          <w:lang w:eastAsia="en-GB"/>
        </w:rPr>
        <w:t>yliopistojen tarjoamaa</w:t>
      </w:r>
      <w:r w:rsidR="00DC1819">
        <w:rPr>
          <w:lang w:eastAsia="en-GB"/>
        </w:rPr>
        <w:t>n</w:t>
      </w:r>
      <w:r w:rsidR="00467805" w:rsidRPr="003A0DD3">
        <w:rPr>
          <w:lang w:eastAsia="en-GB"/>
        </w:rPr>
        <w:t xml:space="preserve"> </w:t>
      </w:r>
      <w:r w:rsidR="004557A8" w:rsidRPr="003A0DD3">
        <w:rPr>
          <w:lang w:eastAsia="en-GB"/>
        </w:rPr>
        <w:t>tekoälykoulutu</w:t>
      </w:r>
      <w:r>
        <w:rPr>
          <w:lang w:eastAsia="en-GB"/>
        </w:rPr>
        <w:t>kseen</w:t>
      </w:r>
      <w:r w:rsidR="00427621">
        <w:rPr>
          <w:lang w:eastAsia="en-GB"/>
        </w:rPr>
        <w:t>, joka voisi olla hyödyksi</w:t>
      </w:r>
      <w:r w:rsidR="00467805" w:rsidRPr="003A0DD3">
        <w:rPr>
          <w:lang w:eastAsia="en-GB"/>
        </w:rPr>
        <w:t>.</w:t>
      </w:r>
      <w:r w:rsidR="00863114">
        <w:rPr>
          <w:lang w:eastAsia="en-GB"/>
        </w:rPr>
        <w:t xml:space="preserve"> </w:t>
      </w:r>
      <w:r w:rsidR="00863114" w:rsidRPr="00863114">
        <w:rPr>
          <w:i/>
          <w:iCs/>
          <w:lang w:eastAsia="en-GB"/>
        </w:rPr>
        <w:t xml:space="preserve">Seuraavan listan muokkauksessa voit hyödyntää myös </w:t>
      </w:r>
      <w:proofErr w:type="spellStart"/>
      <w:r w:rsidR="00863114" w:rsidRPr="00863114">
        <w:rPr>
          <w:i/>
          <w:iCs/>
          <w:lang w:eastAsia="en-GB"/>
        </w:rPr>
        <w:t>HyväÄly</w:t>
      </w:r>
      <w:proofErr w:type="spellEnd"/>
      <w:r w:rsidR="00863114" w:rsidRPr="00863114">
        <w:rPr>
          <w:i/>
          <w:iCs/>
          <w:lang w:eastAsia="en-GB"/>
        </w:rPr>
        <w:t xml:space="preserve"> hankkeen materiaalipankin tarjoamia linkkejä ja kirjallisuutta</w:t>
      </w:r>
      <w:r w:rsidR="00863114">
        <w:rPr>
          <w:lang w:eastAsia="en-GB"/>
        </w:rPr>
        <w:t>:</w:t>
      </w:r>
    </w:p>
    <w:p w14:paraId="73483119" w14:textId="77777777" w:rsidR="004557A8" w:rsidRPr="003A0DD3" w:rsidRDefault="004557A8" w:rsidP="00645164">
      <w:pPr>
        <w:pStyle w:val="ListParagraph"/>
        <w:numPr>
          <w:ilvl w:val="0"/>
          <w:numId w:val="6"/>
        </w:numPr>
      </w:pPr>
      <w:r w:rsidRPr="003A0DD3">
        <w:t>Turun yliopiston avoin yliopisto-opetus tekoälyyn liittyen:</w:t>
      </w:r>
    </w:p>
    <w:p w14:paraId="339086D1" w14:textId="77777777" w:rsidR="004557A8" w:rsidRPr="003A0DD3" w:rsidRDefault="00B307BD" w:rsidP="00645164">
      <w:pPr>
        <w:pStyle w:val="ListParagraph"/>
        <w:numPr>
          <w:ilvl w:val="1"/>
          <w:numId w:val="6"/>
        </w:numPr>
      </w:pPr>
      <w:hyperlink r:id="rId8" w:history="1">
        <w:r w:rsidR="004557A8" w:rsidRPr="003A0DD3">
          <w:rPr>
            <w:color w:val="0563C1"/>
            <w:u w:val="single"/>
          </w:rPr>
          <w:t>https://www.utu.fi/fi/avoin-yliopisto-opetus/opintotarjonta/tekoalyakatemia/tekoaly</w:t>
        </w:r>
      </w:hyperlink>
    </w:p>
    <w:p w14:paraId="4A90C7C8" w14:textId="77777777" w:rsidR="004557A8" w:rsidRPr="003A0DD3" w:rsidRDefault="004557A8" w:rsidP="00645164">
      <w:pPr>
        <w:pStyle w:val="ListParagraph"/>
        <w:numPr>
          <w:ilvl w:val="0"/>
          <w:numId w:val="6"/>
        </w:numPr>
      </w:pPr>
      <w:r w:rsidRPr="003A0DD3">
        <w:t>Helsingin yliopiston avoimet verkkokurssit tekoälystä:</w:t>
      </w:r>
    </w:p>
    <w:p w14:paraId="2F4D24EA" w14:textId="77777777" w:rsidR="004557A8" w:rsidRPr="003A0DD3" w:rsidRDefault="00B307BD" w:rsidP="00645164">
      <w:pPr>
        <w:pStyle w:val="ListParagraph"/>
        <w:numPr>
          <w:ilvl w:val="1"/>
          <w:numId w:val="7"/>
        </w:numPr>
      </w:pPr>
      <w:hyperlink r:id="rId9" w:history="1">
        <w:r w:rsidR="008E5DDD" w:rsidRPr="003A0DD3">
          <w:rPr>
            <w:color w:val="0563C1"/>
            <w:u w:val="single"/>
          </w:rPr>
          <w:t>https://course.elementsofai.com/fi/</w:t>
        </w:r>
      </w:hyperlink>
      <w:r w:rsidR="004557A8" w:rsidRPr="003A0DD3">
        <w:t xml:space="preserve"> (kurssi tekoälystä)</w:t>
      </w:r>
    </w:p>
    <w:p w14:paraId="3D8DF601" w14:textId="2CC12159" w:rsidR="004557A8" w:rsidRDefault="00B307BD" w:rsidP="00F91205">
      <w:pPr>
        <w:pStyle w:val="ListParagraph"/>
        <w:numPr>
          <w:ilvl w:val="1"/>
          <w:numId w:val="7"/>
        </w:numPr>
        <w:spacing w:after="0"/>
        <w:ind w:left="788" w:hanging="431"/>
      </w:pPr>
      <w:hyperlink r:id="rId10" w:history="1">
        <w:r w:rsidR="008E5DDD" w:rsidRPr="003A0DD3">
          <w:rPr>
            <w:color w:val="0563C1"/>
            <w:u w:val="single"/>
          </w:rPr>
          <w:t>https://buildingai.elementsofai.com/</w:t>
        </w:r>
      </w:hyperlink>
      <w:r w:rsidR="004557A8" w:rsidRPr="003A0DD3">
        <w:t xml:space="preserve"> (jatkokurssi tekoälystä) </w:t>
      </w:r>
    </w:p>
    <w:p w14:paraId="1BFE4740" w14:textId="50E4C9CE" w:rsidR="00151CF2" w:rsidRPr="00151CF2" w:rsidRDefault="00151CF2" w:rsidP="00F91205">
      <w:pPr>
        <w:pStyle w:val="paragraph"/>
        <w:numPr>
          <w:ilvl w:val="0"/>
          <w:numId w:val="6"/>
        </w:numPr>
        <w:spacing w:before="0" w:beforeAutospacing="0" w:after="0" w:afterAutospacing="0"/>
        <w:ind w:left="357" w:hanging="357"/>
        <w:jc w:val="both"/>
        <w:textAlignment w:val="baseline"/>
        <w:rPr>
          <w:rFonts w:ascii="Calibri" w:hAnsi="Calibri" w:cs="Calibri"/>
          <w:sz w:val="22"/>
          <w:szCs w:val="22"/>
        </w:rPr>
      </w:pPr>
      <w:r w:rsidRPr="00151CF2">
        <w:rPr>
          <w:rStyle w:val="normaltextrun"/>
          <w:rFonts w:ascii="Calibri" w:hAnsi="Calibri" w:cs="Calibri"/>
          <w:sz w:val="22"/>
          <w:szCs w:val="22"/>
        </w:rPr>
        <w:t xml:space="preserve">Microsoftin, Kajaanin ammattikorkeakoulun ja yrityskumppanien kehittämä </w:t>
      </w:r>
      <w:proofErr w:type="spellStart"/>
      <w:r w:rsidRPr="00151CF2">
        <w:rPr>
          <w:rStyle w:val="spellingerror"/>
          <w:rFonts w:ascii="Calibri" w:hAnsi="Calibri" w:cs="Calibri"/>
          <w:sz w:val="22"/>
          <w:szCs w:val="22"/>
        </w:rPr>
        <w:t>Practical</w:t>
      </w:r>
      <w:proofErr w:type="spellEnd"/>
      <w:r w:rsidRPr="00151CF2">
        <w:rPr>
          <w:rStyle w:val="normaltextrun"/>
          <w:rFonts w:ascii="Calibri" w:hAnsi="Calibri" w:cs="Calibri"/>
          <w:sz w:val="22"/>
          <w:szCs w:val="22"/>
        </w:rPr>
        <w:t xml:space="preserve"> AI-kurssi</w:t>
      </w:r>
      <w:r w:rsidRPr="00151CF2">
        <w:rPr>
          <w:rStyle w:val="eop"/>
          <w:rFonts w:ascii="Calibri" w:hAnsi="Calibri" w:cs="Calibri"/>
          <w:sz w:val="22"/>
          <w:szCs w:val="22"/>
        </w:rPr>
        <w:t> </w:t>
      </w:r>
    </w:p>
    <w:p w14:paraId="08291EB7" w14:textId="0723A497" w:rsidR="00151CF2" w:rsidRPr="003A0DD3" w:rsidRDefault="00B307BD" w:rsidP="00645164">
      <w:pPr>
        <w:pStyle w:val="ListParagraph"/>
        <w:numPr>
          <w:ilvl w:val="1"/>
          <w:numId w:val="6"/>
        </w:numPr>
      </w:pPr>
      <w:hyperlink r:id="rId11" w:tgtFrame="_blank" w:history="1">
        <w:r w:rsidR="00151CF2">
          <w:rPr>
            <w:rStyle w:val="normaltextrun"/>
            <w:rFonts w:cs="Calibri"/>
            <w:color w:val="0563C1"/>
            <w:u w:val="single"/>
          </w:rPr>
          <w:t>https://cs.edukamu.fi/practical-ai-fi</w:t>
        </w:r>
      </w:hyperlink>
      <w:r w:rsidR="00151CF2">
        <w:rPr>
          <w:rStyle w:val="eop"/>
          <w:rFonts w:cs="Calibri"/>
        </w:rPr>
        <w:t> </w:t>
      </w:r>
    </w:p>
    <w:p w14:paraId="3288E945" w14:textId="77777777" w:rsidR="00A91DE7" w:rsidRDefault="00A91DE7">
      <w:pPr>
        <w:spacing w:after="0" w:line="240" w:lineRule="auto"/>
        <w:jc w:val="left"/>
        <w:rPr>
          <w:rFonts w:asciiTheme="majorHAnsi" w:eastAsiaTheme="majorEastAsia" w:hAnsiTheme="majorHAnsi" w:cstheme="majorHAnsi"/>
          <w:b/>
          <w:bCs/>
          <w:sz w:val="36"/>
          <w:szCs w:val="28"/>
          <w:lang w:eastAsia="en-GB"/>
        </w:rPr>
      </w:pPr>
      <w:r>
        <w:rPr>
          <w:lang w:eastAsia="en-GB"/>
        </w:rPr>
        <w:br w:type="page"/>
      </w:r>
    </w:p>
    <w:p w14:paraId="0BEA0B28" w14:textId="1E440538" w:rsidR="004557A8" w:rsidRPr="003A0DD3" w:rsidRDefault="004557A8" w:rsidP="00050301">
      <w:pPr>
        <w:pStyle w:val="Heading1"/>
        <w:rPr>
          <w:lang w:eastAsia="en-GB"/>
        </w:rPr>
      </w:pPr>
      <w:r w:rsidRPr="003A0DD3">
        <w:rPr>
          <w:lang w:eastAsia="en-GB"/>
        </w:rPr>
        <w:lastRenderedPageBreak/>
        <w:t>Työhyvinvointipääoma</w:t>
      </w:r>
    </w:p>
    <w:p w14:paraId="14476752" w14:textId="622646BF" w:rsidR="004557A8" w:rsidRPr="003A0DD3" w:rsidRDefault="004557A8" w:rsidP="00050301">
      <w:pPr>
        <w:rPr>
          <w:lang w:eastAsia="en-GB"/>
        </w:rPr>
      </w:pPr>
      <w:r w:rsidRPr="003A0DD3">
        <w:t>Ty</w:t>
      </w:r>
      <w:r w:rsidR="003E4D8E" w:rsidRPr="003A0DD3">
        <w:t>ö</w:t>
      </w:r>
      <w:r w:rsidRPr="003A0DD3">
        <w:t>hyvinvointipääoma</w:t>
      </w:r>
      <w:r w:rsidR="0077746A">
        <w:t xml:space="preserve">n arvioinnissa näkyi </w:t>
      </w:r>
      <w:r w:rsidR="00863114">
        <w:t>…</w:t>
      </w:r>
      <w:r w:rsidR="00863114" w:rsidRPr="00863114">
        <w:rPr>
          <w:lang w:eastAsia="en-GB"/>
        </w:rPr>
        <w:t xml:space="preserve"> </w:t>
      </w:r>
      <w:r w:rsidR="00863114" w:rsidRPr="00863114">
        <w:rPr>
          <w:i/>
          <w:iCs/>
          <w:lang w:eastAsia="en-GB"/>
        </w:rPr>
        <w:t xml:space="preserve">luonnehdi käytyä keskustelua </w:t>
      </w:r>
      <w:r w:rsidR="00863114">
        <w:rPr>
          <w:i/>
          <w:iCs/>
          <w:lang w:eastAsia="en-GB"/>
        </w:rPr>
        <w:t xml:space="preserve">eri osa-alueilla n. </w:t>
      </w:r>
      <w:r w:rsidR="00863114" w:rsidRPr="00863114">
        <w:rPr>
          <w:i/>
          <w:iCs/>
          <w:lang w:eastAsia="en-GB"/>
        </w:rPr>
        <w:t>4-6 lauseella.</w:t>
      </w:r>
      <w:r w:rsidR="006638CF">
        <w:t xml:space="preserve"> </w:t>
      </w:r>
    </w:p>
    <w:p w14:paraId="125368F1" w14:textId="3D684943" w:rsidR="004557A8" w:rsidRDefault="004557A8" w:rsidP="00050301">
      <w:r w:rsidRPr="003A0DD3">
        <w:t xml:space="preserve">Taulukko </w:t>
      </w:r>
      <w:fldSimple w:instr=" SEQ Taulukko \* ARABIC ">
        <w:r w:rsidR="00050301" w:rsidRPr="003A0DD3">
          <w:rPr>
            <w:noProof/>
          </w:rPr>
          <w:t>2</w:t>
        </w:r>
      </w:fldSimple>
      <w:r w:rsidR="00AE3F35">
        <w:rPr>
          <w:noProof/>
        </w:rPr>
        <w:t xml:space="preserve">. </w:t>
      </w:r>
      <w:r w:rsidRPr="003A0DD3">
        <w:t>Kypsyysmallin itsearvio</w:t>
      </w:r>
      <w:r w:rsidR="00050301" w:rsidRPr="003A0DD3">
        <w:t>i</w:t>
      </w:r>
      <w:r w:rsidRPr="003A0DD3">
        <w:t xml:space="preserve">nnin tulokset </w:t>
      </w:r>
      <w:r w:rsidR="00863114">
        <w:t>xx</w:t>
      </w:r>
      <w:r w:rsidRPr="003A0DD3">
        <w:t>.</w:t>
      </w:r>
      <w:r w:rsidR="00863114">
        <w:t>xx</w:t>
      </w:r>
      <w:r w:rsidRPr="003A0DD3">
        <w:t>.202</w:t>
      </w:r>
      <w:r w:rsidR="00863114">
        <w:t>x</w:t>
      </w:r>
      <w:r w:rsidRPr="003A0DD3">
        <w:t>/Työhyvinvointipääoma</w:t>
      </w:r>
    </w:p>
    <w:tbl>
      <w:tblPr>
        <w:tblStyle w:val="TableGrid1"/>
        <w:tblW w:w="0" w:type="auto"/>
        <w:tblLook w:val="04A0" w:firstRow="1" w:lastRow="0" w:firstColumn="1" w:lastColumn="0" w:noHBand="0" w:noVBand="1"/>
      </w:tblPr>
      <w:tblGrid>
        <w:gridCol w:w="2336"/>
        <w:gridCol w:w="3188"/>
        <w:gridCol w:w="3827"/>
      </w:tblGrid>
      <w:tr w:rsidR="00060524" w:rsidRPr="003A0DD3" w14:paraId="77C1D643" w14:textId="77777777" w:rsidTr="005F1ED6">
        <w:trPr>
          <w:trHeight w:val="541"/>
        </w:trPr>
        <w:tc>
          <w:tcPr>
            <w:tcW w:w="9351" w:type="dxa"/>
            <w:gridSpan w:val="3"/>
            <w:shd w:val="clear" w:color="auto" w:fill="A6A6A6"/>
          </w:tcPr>
          <w:p w14:paraId="17AA350C" w14:textId="77777777" w:rsidR="00060524" w:rsidRPr="003A0DD3" w:rsidRDefault="00060524" w:rsidP="005F1ED6">
            <w:pPr>
              <w:rPr>
                <w:lang w:val="fi-FI" w:eastAsia="en-GB"/>
              </w:rPr>
            </w:pPr>
            <w:r w:rsidRPr="003A0DD3">
              <w:rPr>
                <w:lang w:val="fi-FI" w:eastAsia="en-GB"/>
              </w:rPr>
              <w:t>Työnhyvinvointipääoma</w:t>
            </w:r>
          </w:p>
        </w:tc>
      </w:tr>
      <w:tr w:rsidR="00060524" w:rsidRPr="003A0DD3" w14:paraId="578972F1" w14:textId="77777777" w:rsidTr="005F1ED6">
        <w:trPr>
          <w:trHeight w:val="347"/>
        </w:trPr>
        <w:tc>
          <w:tcPr>
            <w:tcW w:w="2336" w:type="dxa"/>
            <w:shd w:val="clear" w:color="auto" w:fill="D9D9D9"/>
          </w:tcPr>
          <w:p w14:paraId="6245BE6D" w14:textId="77777777" w:rsidR="00060524" w:rsidRPr="003A0DD3" w:rsidRDefault="00060524" w:rsidP="005F1ED6">
            <w:pPr>
              <w:rPr>
                <w:lang w:val="fi-FI" w:eastAsia="en-GB"/>
              </w:rPr>
            </w:pPr>
            <w:r w:rsidRPr="003A0DD3">
              <w:rPr>
                <w:lang w:val="fi-FI" w:eastAsia="en-GB"/>
              </w:rPr>
              <w:t>Osa-alue</w:t>
            </w:r>
          </w:p>
        </w:tc>
        <w:tc>
          <w:tcPr>
            <w:tcW w:w="3188" w:type="dxa"/>
            <w:shd w:val="clear" w:color="auto" w:fill="D9D9D9"/>
          </w:tcPr>
          <w:p w14:paraId="28A73FA1" w14:textId="77777777" w:rsidR="00060524" w:rsidRPr="003A0DD3" w:rsidRDefault="00060524" w:rsidP="005F1ED6">
            <w:pPr>
              <w:rPr>
                <w:lang w:val="fi-FI" w:eastAsia="en-GB"/>
              </w:rPr>
            </w:pPr>
            <w:r w:rsidRPr="003A0DD3">
              <w:rPr>
                <w:lang w:val="fi-FI" w:eastAsia="en-GB"/>
              </w:rPr>
              <w:t>Ryhmä 1. arvio</w:t>
            </w:r>
          </w:p>
        </w:tc>
        <w:tc>
          <w:tcPr>
            <w:tcW w:w="3827" w:type="dxa"/>
            <w:shd w:val="clear" w:color="auto" w:fill="D9D9D9"/>
          </w:tcPr>
          <w:p w14:paraId="3340C9C6" w14:textId="77777777" w:rsidR="00060524" w:rsidRPr="003A0DD3" w:rsidRDefault="00060524" w:rsidP="005F1ED6">
            <w:pPr>
              <w:rPr>
                <w:lang w:val="fi-FI" w:eastAsia="en-GB"/>
              </w:rPr>
            </w:pPr>
            <w:r w:rsidRPr="003A0DD3">
              <w:rPr>
                <w:lang w:val="fi-FI" w:eastAsia="en-GB"/>
              </w:rPr>
              <w:t>Ryhmä 2. arvio</w:t>
            </w:r>
          </w:p>
        </w:tc>
      </w:tr>
      <w:tr w:rsidR="00060524" w:rsidRPr="003A0DD3" w14:paraId="65C85531" w14:textId="77777777" w:rsidTr="005F1ED6">
        <w:trPr>
          <w:trHeight w:val="347"/>
        </w:trPr>
        <w:tc>
          <w:tcPr>
            <w:tcW w:w="2336" w:type="dxa"/>
          </w:tcPr>
          <w:p w14:paraId="4F0B625D" w14:textId="77777777" w:rsidR="00060524" w:rsidRPr="003A0DD3" w:rsidRDefault="00060524" w:rsidP="005F1ED6">
            <w:pPr>
              <w:rPr>
                <w:lang w:val="fi-FI" w:eastAsia="en-GB"/>
              </w:rPr>
            </w:pPr>
            <w:r w:rsidRPr="003A0DD3">
              <w:rPr>
                <w:lang w:val="fi-FI" w:eastAsia="en-GB"/>
              </w:rPr>
              <w:t>Psykologinen pääoma, terveys ja fyysinen kunto (yksilöt)</w:t>
            </w:r>
          </w:p>
        </w:tc>
        <w:tc>
          <w:tcPr>
            <w:tcW w:w="3188" w:type="dxa"/>
            <w:shd w:val="clear" w:color="auto" w:fill="70AD47"/>
          </w:tcPr>
          <w:p w14:paraId="02C96953" w14:textId="77777777" w:rsidR="00060524" w:rsidRPr="003A0DD3" w:rsidRDefault="00060524" w:rsidP="005F1ED6">
            <w:pPr>
              <w:rPr>
                <w:lang w:val="fi-FI" w:eastAsia="en-GB"/>
              </w:rPr>
            </w:pPr>
            <w:r w:rsidRPr="003A0DD3">
              <w:rPr>
                <w:lang w:val="fi-FI" w:eastAsia="en-GB"/>
              </w:rPr>
              <w:t>Tasolla 4</w:t>
            </w:r>
          </w:p>
        </w:tc>
        <w:tc>
          <w:tcPr>
            <w:tcW w:w="3827" w:type="dxa"/>
            <w:shd w:val="clear" w:color="auto" w:fill="70AD47"/>
          </w:tcPr>
          <w:p w14:paraId="03DA38F9" w14:textId="77777777" w:rsidR="00060524" w:rsidRPr="003A0DD3" w:rsidRDefault="00060524" w:rsidP="005F1ED6">
            <w:pPr>
              <w:rPr>
                <w:lang w:val="fi-FI" w:eastAsia="en-GB"/>
              </w:rPr>
            </w:pPr>
            <w:r w:rsidRPr="003A0DD3">
              <w:rPr>
                <w:lang w:val="fi-FI" w:eastAsia="en-GB"/>
              </w:rPr>
              <w:t>Tasolla 4</w:t>
            </w:r>
          </w:p>
        </w:tc>
      </w:tr>
      <w:tr w:rsidR="00060524" w:rsidRPr="003A0DD3" w14:paraId="59790B1F" w14:textId="77777777" w:rsidTr="005F1ED6">
        <w:trPr>
          <w:trHeight w:val="347"/>
        </w:trPr>
        <w:tc>
          <w:tcPr>
            <w:tcW w:w="2336" w:type="dxa"/>
          </w:tcPr>
          <w:p w14:paraId="51791421" w14:textId="77777777" w:rsidR="00060524" w:rsidRPr="003A0DD3" w:rsidRDefault="00060524" w:rsidP="005F1ED6">
            <w:pPr>
              <w:rPr>
                <w:lang w:val="fi-FI" w:eastAsia="en-GB"/>
              </w:rPr>
            </w:pPr>
            <w:r w:rsidRPr="003A0DD3">
              <w:rPr>
                <w:lang w:val="fi-FI" w:eastAsia="en-GB"/>
              </w:rPr>
              <w:t>Sosiaalinen pääoma (yhteisöt ja johtaminen)</w:t>
            </w:r>
          </w:p>
        </w:tc>
        <w:tc>
          <w:tcPr>
            <w:tcW w:w="3188" w:type="dxa"/>
            <w:shd w:val="clear" w:color="auto" w:fill="70AD47"/>
          </w:tcPr>
          <w:p w14:paraId="2D0610A7" w14:textId="77777777" w:rsidR="00060524" w:rsidRPr="003A0DD3" w:rsidRDefault="00060524" w:rsidP="005F1ED6">
            <w:pPr>
              <w:rPr>
                <w:lang w:val="fi-FI" w:eastAsia="en-GB"/>
              </w:rPr>
            </w:pPr>
            <w:r w:rsidRPr="003A0DD3">
              <w:rPr>
                <w:lang w:val="fi-FI" w:eastAsia="en-GB"/>
              </w:rPr>
              <w:t>Tasolla 4</w:t>
            </w:r>
          </w:p>
        </w:tc>
        <w:tc>
          <w:tcPr>
            <w:tcW w:w="3827" w:type="dxa"/>
            <w:shd w:val="clear" w:color="auto" w:fill="70AD47"/>
          </w:tcPr>
          <w:p w14:paraId="5CB9A843" w14:textId="77777777" w:rsidR="00060524" w:rsidRPr="003A0DD3" w:rsidRDefault="00060524" w:rsidP="005F1ED6">
            <w:pPr>
              <w:rPr>
                <w:lang w:val="fi-FI" w:eastAsia="en-GB"/>
              </w:rPr>
            </w:pPr>
            <w:r w:rsidRPr="003A0DD3">
              <w:rPr>
                <w:lang w:val="fi-FI" w:eastAsia="en-GB"/>
              </w:rPr>
              <w:t>Tasolla 4</w:t>
            </w:r>
          </w:p>
        </w:tc>
      </w:tr>
      <w:tr w:rsidR="00060524" w:rsidRPr="003A0DD3" w14:paraId="714F15A5" w14:textId="77777777" w:rsidTr="005F1ED6">
        <w:trPr>
          <w:trHeight w:val="347"/>
        </w:trPr>
        <w:tc>
          <w:tcPr>
            <w:tcW w:w="2336" w:type="dxa"/>
          </w:tcPr>
          <w:p w14:paraId="13AC9CF9" w14:textId="77777777" w:rsidR="00060524" w:rsidRPr="003A0DD3" w:rsidRDefault="00060524" w:rsidP="005F1ED6">
            <w:pPr>
              <w:rPr>
                <w:lang w:val="fi-FI" w:eastAsia="en-GB"/>
              </w:rPr>
            </w:pPr>
            <w:r w:rsidRPr="003A0DD3">
              <w:rPr>
                <w:lang w:val="fi-FI" w:eastAsia="en-GB"/>
              </w:rPr>
              <w:t>Rakennepääoma (työ ja organisaatio</w:t>
            </w:r>
          </w:p>
        </w:tc>
        <w:tc>
          <w:tcPr>
            <w:tcW w:w="3188" w:type="dxa"/>
            <w:shd w:val="clear" w:color="auto" w:fill="70AD47"/>
          </w:tcPr>
          <w:p w14:paraId="600EC7D5" w14:textId="77777777" w:rsidR="00060524" w:rsidRPr="003A0DD3" w:rsidRDefault="00060524" w:rsidP="005F1ED6">
            <w:pPr>
              <w:rPr>
                <w:lang w:val="fi-FI" w:eastAsia="en-GB"/>
              </w:rPr>
            </w:pPr>
            <w:r w:rsidRPr="003A0DD3">
              <w:rPr>
                <w:lang w:val="fi-FI" w:eastAsia="en-GB"/>
              </w:rPr>
              <w:t>Tasolla 4</w:t>
            </w:r>
          </w:p>
        </w:tc>
        <w:tc>
          <w:tcPr>
            <w:tcW w:w="3827" w:type="dxa"/>
            <w:shd w:val="clear" w:color="auto" w:fill="A8D08D"/>
          </w:tcPr>
          <w:p w14:paraId="32152C3E" w14:textId="77777777" w:rsidR="00060524" w:rsidRPr="003A0DD3" w:rsidRDefault="00060524" w:rsidP="005F1ED6">
            <w:pPr>
              <w:rPr>
                <w:lang w:val="fi-FI" w:eastAsia="en-GB"/>
              </w:rPr>
            </w:pPr>
            <w:r w:rsidRPr="003A0DD3">
              <w:rPr>
                <w:lang w:val="fi-FI" w:eastAsia="en-GB"/>
              </w:rPr>
              <w:t xml:space="preserve">Tasolla 3 ½ </w:t>
            </w:r>
          </w:p>
        </w:tc>
      </w:tr>
    </w:tbl>
    <w:p w14:paraId="3C96EB11" w14:textId="3E0CE1A6" w:rsidR="004557A8" w:rsidRPr="003A0DD3" w:rsidRDefault="004557A8" w:rsidP="00050301"/>
    <w:p w14:paraId="0F39737A" w14:textId="0189FCF8" w:rsidR="004557A8" w:rsidRPr="003A0DD3" w:rsidRDefault="00C17B74" w:rsidP="00050301">
      <w:pPr>
        <w:pStyle w:val="Heading2"/>
      </w:pPr>
      <w:r w:rsidRPr="003A0DD3">
        <w:t xml:space="preserve">Vinkkejä työhyvinvointipääoman </w:t>
      </w:r>
      <w:r w:rsidR="00906B23" w:rsidRPr="003A0DD3">
        <w:t>kehittämiseksi jatkossa</w:t>
      </w:r>
    </w:p>
    <w:p w14:paraId="5A773C56" w14:textId="17D874D4" w:rsidR="00863114" w:rsidRPr="003A0DD3" w:rsidRDefault="00467805" w:rsidP="00863114">
      <w:pPr>
        <w:pStyle w:val="ListParagraph"/>
        <w:numPr>
          <w:ilvl w:val="0"/>
          <w:numId w:val="9"/>
        </w:numPr>
      </w:pPr>
      <w:r w:rsidRPr="003A0DD3">
        <w:t xml:space="preserve">Eettisen kuormituksen ehkäiseminen on tärkeätä myös tekoälyn kanssa työskennellessä. </w:t>
      </w:r>
      <w:r w:rsidR="00863114" w:rsidRPr="00863114">
        <w:rPr>
          <w:i/>
          <w:iCs/>
          <w:lang w:eastAsia="en-GB"/>
        </w:rPr>
        <w:t>S</w:t>
      </w:r>
      <w:r w:rsidR="00863114" w:rsidRPr="00863114">
        <w:rPr>
          <w:i/>
          <w:iCs/>
          <w:lang w:eastAsia="en-GB"/>
        </w:rPr>
        <w:t>euraava</w:t>
      </w:r>
      <w:r w:rsidR="00863114" w:rsidRPr="00863114">
        <w:rPr>
          <w:i/>
          <w:iCs/>
          <w:lang w:eastAsia="en-GB"/>
        </w:rPr>
        <w:t>n</w:t>
      </w:r>
      <w:r w:rsidR="00863114" w:rsidRPr="00863114">
        <w:rPr>
          <w:i/>
          <w:iCs/>
          <w:lang w:eastAsia="en-GB"/>
        </w:rPr>
        <w:t xml:space="preserve"> lista</w:t>
      </w:r>
      <w:r w:rsidR="00863114" w:rsidRPr="00863114">
        <w:rPr>
          <w:i/>
          <w:iCs/>
          <w:lang w:eastAsia="en-GB"/>
        </w:rPr>
        <w:t>n muokkauksessa voit</w:t>
      </w:r>
      <w:r w:rsidR="00863114" w:rsidRPr="00863114">
        <w:rPr>
          <w:i/>
          <w:iCs/>
          <w:lang w:eastAsia="en-GB"/>
        </w:rPr>
        <w:t xml:space="preserve"> hyödyntä</w:t>
      </w:r>
      <w:r w:rsidR="00863114" w:rsidRPr="00863114">
        <w:rPr>
          <w:i/>
          <w:iCs/>
          <w:lang w:eastAsia="en-GB"/>
        </w:rPr>
        <w:t>ä myös</w:t>
      </w:r>
      <w:r w:rsidR="00863114" w:rsidRPr="00863114">
        <w:rPr>
          <w:i/>
          <w:iCs/>
          <w:lang w:eastAsia="en-GB"/>
        </w:rPr>
        <w:t xml:space="preserve"> </w:t>
      </w:r>
      <w:proofErr w:type="spellStart"/>
      <w:r w:rsidR="00863114" w:rsidRPr="00863114">
        <w:rPr>
          <w:i/>
          <w:iCs/>
          <w:lang w:eastAsia="en-GB"/>
        </w:rPr>
        <w:t>HyväÄly</w:t>
      </w:r>
      <w:proofErr w:type="spellEnd"/>
      <w:r w:rsidR="00863114" w:rsidRPr="00863114">
        <w:rPr>
          <w:i/>
          <w:iCs/>
          <w:lang w:eastAsia="en-GB"/>
        </w:rPr>
        <w:t xml:space="preserve"> hankkeen materiaalipankin tarjoamia linkkejä ja kirjallisuutta</w:t>
      </w:r>
      <w:r w:rsidR="00863114">
        <w:rPr>
          <w:lang w:eastAsia="en-GB"/>
        </w:rPr>
        <w:t>:</w:t>
      </w:r>
    </w:p>
    <w:p w14:paraId="24CF3DF5" w14:textId="58983B19" w:rsidR="00906B23" w:rsidRPr="003A0DD3" w:rsidRDefault="00DD3DAD" w:rsidP="00645164">
      <w:pPr>
        <w:pStyle w:val="ListParagraph"/>
        <w:numPr>
          <w:ilvl w:val="1"/>
          <w:numId w:val="9"/>
        </w:numPr>
      </w:pPr>
      <w:r w:rsidRPr="003A0DD3">
        <w:t>Eettisen</w:t>
      </w:r>
      <w:r w:rsidR="00467805" w:rsidRPr="003A0DD3">
        <w:t xml:space="preserve"> kuormituksen ehkäisemisestä löydät tietoa täältä: </w:t>
      </w:r>
      <w:hyperlink r:id="rId12" w:history="1">
        <w:r w:rsidR="00C17B74" w:rsidRPr="003A0DD3">
          <w:rPr>
            <w:rStyle w:val="Hyperlink"/>
          </w:rPr>
          <w:t>https://ttk.fi/julkaisu/eettinen-kuormitus-tyossa/</w:t>
        </w:r>
      </w:hyperlink>
      <w:r w:rsidR="00467805" w:rsidRPr="003A0DD3">
        <w:t xml:space="preserve">    </w:t>
      </w:r>
    </w:p>
    <w:p w14:paraId="0216AAF2" w14:textId="77777777" w:rsidR="00C17B74" w:rsidRPr="003A0DD3" w:rsidRDefault="00467805" w:rsidP="00645164">
      <w:pPr>
        <w:pStyle w:val="ListParagraph"/>
        <w:numPr>
          <w:ilvl w:val="0"/>
          <w:numId w:val="9"/>
        </w:numPr>
      </w:pPr>
      <w:r w:rsidRPr="003A0DD3">
        <w:t xml:space="preserve">Myös henkilöstön uniterveyteen kannattaa panostaa. </w:t>
      </w:r>
    </w:p>
    <w:p w14:paraId="00367F20" w14:textId="203CE2CD" w:rsidR="00C17B74" w:rsidRPr="003A0DD3" w:rsidRDefault="00467805" w:rsidP="00645164">
      <w:pPr>
        <w:pStyle w:val="ListParagraph"/>
        <w:numPr>
          <w:ilvl w:val="1"/>
          <w:numId w:val="9"/>
        </w:numPr>
      </w:pPr>
      <w:r w:rsidRPr="003A0DD3">
        <w:t xml:space="preserve">Lue lisää aiheesta: </w:t>
      </w:r>
      <w:hyperlink r:id="rId13" w:history="1">
        <w:r w:rsidR="00C17B74" w:rsidRPr="003A0DD3">
          <w:rPr>
            <w:rStyle w:val="Hyperlink"/>
          </w:rPr>
          <w:t>https://sleepandwork.karelia.fi/tyokirja/tyoyhteison-uniterveyden-polku/</w:t>
        </w:r>
      </w:hyperlink>
    </w:p>
    <w:p w14:paraId="4C9FB2EB" w14:textId="77777777" w:rsidR="00C17B74" w:rsidRPr="003A0DD3" w:rsidRDefault="00C17B74" w:rsidP="00645164">
      <w:pPr>
        <w:pStyle w:val="ListParagraph"/>
        <w:numPr>
          <w:ilvl w:val="0"/>
          <w:numId w:val="9"/>
        </w:numPr>
      </w:pPr>
      <w:r w:rsidRPr="003A0DD3">
        <w:t>Työhyvinvoinnin suunnitelmallista tukemista helpottava muistilista.</w:t>
      </w:r>
    </w:p>
    <w:p w14:paraId="62CF49EA" w14:textId="38BB8957" w:rsidR="00C17B74" w:rsidRPr="003A0DD3" w:rsidRDefault="00B307BD" w:rsidP="00645164">
      <w:pPr>
        <w:pStyle w:val="ListParagraph"/>
        <w:numPr>
          <w:ilvl w:val="1"/>
          <w:numId w:val="9"/>
        </w:numPr>
      </w:pPr>
      <w:hyperlink r:id="rId14" w:history="1">
        <w:r w:rsidR="00C17B74" w:rsidRPr="003A0DD3">
          <w:rPr>
            <w:rStyle w:val="Hyperlink"/>
          </w:rPr>
          <w:t>https://www.suomi.fi/oppaat/tyokyvyn-tukeminen/muistilista</w:t>
        </w:r>
      </w:hyperlink>
      <w:r w:rsidR="00C17B74" w:rsidRPr="003A0DD3">
        <w:t xml:space="preserve"> </w:t>
      </w:r>
    </w:p>
    <w:p w14:paraId="652ACFD0" w14:textId="77777777" w:rsidR="00C17B74" w:rsidRPr="003A0DD3" w:rsidRDefault="00C17B74" w:rsidP="00645164">
      <w:pPr>
        <w:pStyle w:val="ListParagraph"/>
        <w:numPr>
          <w:ilvl w:val="0"/>
          <w:numId w:val="9"/>
        </w:numPr>
      </w:pPr>
      <w:r w:rsidRPr="003A0DD3">
        <w:t xml:space="preserve">Organisaationne voi varautua mahdollisiin häiriötilanteisiin esim. oheisen työkalun avulla: </w:t>
      </w:r>
    </w:p>
    <w:p w14:paraId="7E4ABC5A" w14:textId="39C7AE51" w:rsidR="00C17B74" w:rsidRPr="003A0DD3" w:rsidRDefault="00B307BD" w:rsidP="00645164">
      <w:pPr>
        <w:pStyle w:val="ListParagraph"/>
        <w:numPr>
          <w:ilvl w:val="1"/>
          <w:numId w:val="9"/>
        </w:numPr>
      </w:pPr>
      <w:hyperlink r:id="rId15" w:history="1">
        <w:r w:rsidR="00C17B74" w:rsidRPr="003A0DD3">
          <w:rPr>
            <w:rStyle w:val="Hyperlink"/>
          </w:rPr>
          <w:t>https://hyvatyo.ttl.fi/mielenterveyden-tyokalupakki/tyokalut/tyopaikan-resilienssityokalusarja/uhkiin-varautumisen-tyokalu</w:t>
        </w:r>
      </w:hyperlink>
    </w:p>
    <w:p w14:paraId="04C4C099" w14:textId="31F3599A" w:rsidR="004557A8" w:rsidRPr="003A0DD3" w:rsidRDefault="004557A8" w:rsidP="00050301">
      <w:pPr>
        <w:rPr>
          <w:rFonts w:ascii="Times New Roman" w:eastAsia="Times New Roman" w:hAnsi="Times New Roman" w:cs="Times New Roman"/>
          <w:kern w:val="36"/>
          <w:sz w:val="48"/>
          <w:szCs w:val="48"/>
          <w:lang w:eastAsia="en-GB"/>
        </w:rPr>
      </w:pPr>
    </w:p>
    <w:p w14:paraId="128A02ED" w14:textId="77777777" w:rsidR="006A19EB" w:rsidRDefault="006A19EB">
      <w:pPr>
        <w:spacing w:after="0" w:line="240" w:lineRule="auto"/>
        <w:jc w:val="left"/>
        <w:rPr>
          <w:rFonts w:asciiTheme="majorHAnsi" w:eastAsiaTheme="majorEastAsia" w:hAnsiTheme="majorHAnsi" w:cstheme="majorHAnsi"/>
          <w:b/>
          <w:bCs/>
          <w:sz w:val="36"/>
          <w:szCs w:val="28"/>
          <w:lang w:eastAsia="en-GB"/>
        </w:rPr>
      </w:pPr>
      <w:r>
        <w:rPr>
          <w:lang w:eastAsia="en-GB"/>
        </w:rPr>
        <w:br w:type="page"/>
      </w:r>
    </w:p>
    <w:p w14:paraId="0188C978" w14:textId="233DBD0B" w:rsidR="004557A8" w:rsidRPr="003A0DD3" w:rsidRDefault="004557A8" w:rsidP="008E5DDD">
      <w:pPr>
        <w:pStyle w:val="Heading1"/>
        <w:rPr>
          <w:lang w:eastAsia="en-GB"/>
        </w:rPr>
      </w:pPr>
      <w:r w:rsidRPr="003A0DD3">
        <w:rPr>
          <w:lang w:eastAsia="en-GB"/>
        </w:rPr>
        <w:lastRenderedPageBreak/>
        <w:t>Regulaatio-osaaminen</w:t>
      </w:r>
    </w:p>
    <w:p w14:paraId="24218DC9" w14:textId="6C6CC13A" w:rsidR="004557A8" w:rsidRPr="003A0DD3" w:rsidRDefault="008E5DDD" w:rsidP="00050301">
      <w:r w:rsidRPr="003A0DD3">
        <w:t>Regulaatio-osaaminen o</w:t>
      </w:r>
      <w:r w:rsidR="00AE3F35">
        <w:t>n</w:t>
      </w:r>
      <w:r w:rsidR="00863114">
        <w:t xml:space="preserve">… </w:t>
      </w:r>
      <w:r w:rsidR="006A19EB" w:rsidRPr="00863114">
        <w:rPr>
          <w:i/>
          <w:iCs/>
          <w:lang w:eastAsia="en-GB"/>
        </w:rPr>
        <w:t xml:space="preserve">luonnehdi käytyä keskustelua </w:t>
      </w:r>
      <w:r w:rsidR="006A19EB">
        <w:rPr>
          <w:i/>
          <w:iCs/>
          <w:lang w:eastAsia="en-GB"/>
        </w:rPr>
        <w:t xml:space="preserve">eri osa-alueilla n. </w:t>
      </w:r>
      <w:r w:rsidR="006A19EB" w:rsidRPr="00863114">
        <w:rPr>
          <w:i/>
          <w:iCs/>
          <w:lang w:eastAsia="en-GB"/>
        </w:rPr>
        <w:t>4-6 lauseella.</w:t>
      </w:r>
    </w:p>
    <w:p w14:paraId="1F795662" w14:textId="7DABAA84" w:rsidR="004557A8" w:rsidRDefault="00050301" w:rsidP="00AE3F35">
      <w:r w:rsidRPr="003A0DD3">
        <w:t xml:space="preserve">Taulukko </w:t>
      </w:r>
      <w:fldSimple w:instr=" SEQ Taulukko \* ARABIC ">
        <w:r w:rsidRPr="003A0DD3">
          <w:t>3</w:t>
        </w:r>
      </w:fldSimple>
      <w:r w:rsidRPr="003A0DD3">
        <w:t>.</w:t>
      </w:r>
      <w:r w:rsidR="00AE3F35">
        <w:t xml:space="preserve"> </w:t>
      </w:r>
      <w:r w:rsidRPr="003A0DD3">
        <w:t>Kypsyysmallin itsearvioinnin tulokset</w:t>
      </w:r>
      <w:r w:rsidR="00AE3F35">
        <w:t xml:space="preserve"> </w:t>
      </w:r>
      <w:r w:rsidR="00060524">
        <w:t>xx</w:t>
      </w:r>
      <w:r w:rsidR="00AE3F35">
        <w:t>.</w:t>
      </w:r>
      <w:r w:rsidR="00060524">
        <w:t>xx</w:t>
      </w:r>
      <w:r w:rsidR="00AE3F35">
        <w:t>.202</w:t>
      </w:r>
      <w:r w:rsidR="00060524">
        <w:t>x</w:t>
      </w:r>
      <w:r w:rsidRPr="003A0DD3">
        <w:t>/Regulaatio-osaaminen</w:t>
      </w:r>
    </w:p>
    <w:tbl>
      <w:tblPr>
        <w:tblStyle w:val="TableGrid1"/>
        <w:tblW w:w="0" w:type="auto"/>
        <w:tblLook w:val="04A0" w:firstRow="1" w:lastRow="0" w:firstColumn="1" w:lastColumn="0" w:noHBand="0" w:noVBand="1"/>
      </w:tblPr>
      <w:tblGrid>
        <w:gridCol w:w="2336"/>
        <w:gridCol w:w="3188"/>
        <w:gridCol w:w="3827"/>
      </w:tblGrid>
      <w:tr w:rsidR="00060524" w:rsidRPr="003A0DD3" w14:paraId="0770AA2F" w14:textId="77777777" w:rsidTr="005F1ED6">
        <w:trPr>
          <w:trHeight w:val="541"/>
        </w:trPr>
        <w:tc>
          <w:tcPr>
            <w:tcW w:w="9351" w:type="dxa"/>
            <w:gridSpan w:val="3"/>
            <w:shd w:val="clear" w:color="auto" w:fill="A6A6A6"/>
          </w:tcPr>
          <w:p w14:paraId="471EE62A" w14:textId="77777777" w:rsidR="00060524" w:rsidRPr="003A0DD3" w:rsidRDefault="00060524" w:rsidP="005F1ED6">
            <w:pPr>
              <w:rPr>
                <w:lang w:val="fi-FI" w:eastAsia="en-GB"/>
              </w:rPr>
            </w:pPr>
            <w:r w:rsidRPr="003A0DD3">
              <w:rPr>
                <w:lang w:val="fi-FI" w:eastAsia="en-GB"/>
              </w:rPr>
              <w:t>Regulaatio osaaminen</w:t>
            </w:r>
          </w:p>
        </w:tc>
      </w:tr>
      <w:tr w:rsidR="00060524" w:rsidRPr="003A0DD3" w14:paraId="3E417833" w14:textId="77777777" w:rsidTr="005F1ED6">
        <w:trPr>
          <w:trHeight w:val="384"/>
        </w:trPr>
        <w:tc>
          <w:tcPr>
            <w:tcW w:w="2336" w:type="dxa"/>
            <w:shd w:val="clear" w:color="auto" w:fill="D9D9D9"/>
          </w:tcPr>
          <w:p w14:paraId="083D8726" w14:textId="77777777" w:rsidR="00060524" w:rsidRPr="003A0DD3" w:rsidRDefault="00060524" w:rsidP="005F1ED6">
            <w:pPr>
              <w:rPr>
                <w:lang w:val="fi-FI" w:eastAsia="en-GB"/>
              </w:rPr>
            </w:pPr>
            <w:r w:rsidRPr="003A0DD3">
              <w:rPr>
                <w:lang w:val="fi-FI" w:eastAsia="en-GB"/>
              </w:rPr>
              <w:t>Osa-alue</w:t>
            </w:r>
          </w:p>
        </w:tc>
        <w:tc>
          <w:tcPr>
            <w:tcW w:w="3188" w:type="dxa"/>
            <w:shd w:val="clear" w:color="auto" w:fill="D9D9D9"/>
          </w:tcPr>
          <w:p w14:paraId="3B766784" w14:textId="77777777" w:rsidR="00060524" w:rsidRPr="003A0DD3" w:rsidRDefault="00060524" w:rsidP="005F1ED6">
            <w:pPr>
              <w:rPr>
                <w:lang w:val="fi-FI" w:eastAsia="en-GB"/>
              </w:rPr>
            </w:pPr>
            <w:r w:rsidRPr="003A0DD3">
              <w:rPr>
                <w:lang w:val="fi-FI" w:eastAsia="en-GB"/>
              </w:rPr>
              <w:t>Ryhmä 1. arvio</w:t>
            </w:r>
          </w:p>
        </w:tc>
        <w:tc>
          <w:tcPr>
            <w:tcW w:w="3827" w:type="dxa"/>
            <w:shd w:val="clear" w:color="auto" w:fill="D9D9D9"/>
          </w:tcPr>
          <w:p w14:paraId="486DFAF6" w14:textId="77777777" w:rsidR="00060524" w:rsidRPr="003A0DD3" w:rsidRDefault="00060524" w:rsidP="005F1ED6">
            <w:pPr>
              <w:rPr>
                <w:lang w:val="fi-FI" w:eastAsia="en-GB"/>
              </w:rPr>
            </w:pPr>
            <w:r w:rsidRPr="003A0DD3">
              <w:rPr>
                <w:lang w:val="fi-FI" w:eastAsia="en-GB"/>
              </w:rPr>
              <w:t>Ryhmä 2. arvio</w:t>
            </w:r>
          </w:p>
        </w:tc>
      </w:tr>
      <w:tr w:rsidR="00060524" w:rsidRPr="003A0DD3" w14:paraId="2A906CF3" w14:textId="77777777" w:rsidTr="005F1ED6">
        <w:trPr>
          <w:trHeight w:val="347"/>
        </w:trPr>
        <w:tc>
          <w:tcPr>
            <w:tcW w:w="2336" w:type="dxa"/>
          </w:tcPr>
          <w:p w14:paraId="70AD0548" w14:textId="77777777" w:rsidR="00060524" w:rsidRPr="003A0DD3" w:rsidRDefault="00060524" w:rsidP="005F1ED6">
            <w:pPr>
              <w:rPr>
                <w:lang w:val="fi-FI" w:eastAsia="en-GB"/>
              </w:rPr>
            </w:pPr>
            <w:r w:rsidRPr="003A0DD3">
              <w:rPr>
                <w:lang w:val="fi-FI" w:eastAsia="en-GB"/>
              </w:rPr>
              <w:t>Tekoälyn määrittely</w:t>
            </w:r>
          </w:p>
        </w:tc>
        <w:tc>
          <w:tcPr>
            <w:tcW w:w="3188" w:type="dxa"/>
            <w:shd w:val="clear" w:color="auto" w:fill="A8D08D"/>
          </w:tcPr>
          <w:p w14:paraId="38B0834F" w14:textId="77777777" w:rsidR="00060524" w:rsidRPr="003A0DD3" w:rsidRDefault="00060524" w:rsidP="005F1ED6">
            <w:pPr>
              <w:rPr>
                <w:lang w:val="fi-FI" w:eastAsia="en-GB"/>
              </w:rPr>
            </w:pPr>
            <w:r w:rsidRPr="003A0DD3">
              <w:rPr>
                <w:lang w:val="fi-FI" w:eastAsia="en-GB"/>
              </w:rPr>
              <w:t>3</w:t>
            </w:r>
          </w:p>
        </w:tc>
        <w:tc>
          <w:tcPr>
            <w:tcW w:w="3827" w:type="dxa"/>
            <w:shd w:val="clear" w:color="auto" w:fill="C5E0B3"/>
          </w:tcPr>
          <w:p w14:paraId="66AA33C1" w14:textId="77777777" w:rsidR="00060524" w:rsidRPr="003A0DD3" w:rsidRDefault="00060524" w:rsidP="005F1ED6">
            <w:pPr>
              <w:rPr>
                <w:lang w:val="fi-FI" w:eastAsia="en-GB"/>
              </w:rPr>
            </w:pPr>
            <w:r w:rsidRPr="003A0DD3">
              <w:rPr>
                <w:lang w:val="fi-FI" w:eastAsia="en-GB"/>
              </w:rPr>
              <w:t>2</w:t>
            </w:r>
          </w:p>
        </w:tc>
      </w:tr>
      <w:tr w:rsidR="00060524" w:rsidRPr="003A0DD3" w14:paraId="75E09F76" w14:textId="77777777" w:rsidTr="005F1ED6">
        <w:trPr>
          <w:trHeight w:val="347"/>
        </w:trPr>
        <w:tc>
          <w:tcPr>
            <w:tcW w:w="2336" w:type="dxa"/>
          </w:tcPr>
          <w:p w14:paraId="01B06718" w14:textId="77777777" w:rsidR="00060524" w:rsidRPr="003A0DD3" w:rsidRDefault="00060524" w:rsidP="005F1ED6">
            <w:pPr>
              <w:rPr>
                <w:lang w:val="fi-FI" w:eastAsia="en-GB"/>
              </w:rPr>
            </w:pPr>
            <w:r w:rsidRPr="003A0DD3">
              <w:rPr>
                <w:lang w:val="fi-FI" w:eastAsia="en-GB"/>
              </w:rPr>
              <w:t>Organisaation roolin määrittely</w:t>
            </w:r>
          </w:p>
        </w:tc>
        <w:tc>
          <w:tcPr>
            <w:tcW w:w="3188" w:type="dxa"/>
            <w:shd w:val="clear" w:color="auto" w:fill="C5E0B3"/>
          </w:tcPr>
          <w:p w14:paraId="676FBBC3" w14:textId="77777777" w:rsidR="00060524" w:rsidRPr="003A0DD3" w:rsidRDefault="00060524" w:rsidP="005F1ED6">
            <w:pPr>
              <w:rPr>
                <w:lang w:val="fi-FI" w:eastAsia="en-GB"/>
              </w:rPr>
            </w:pPr>
            <w:r w:rsidRPr="003A0DD3">
              <w:rPr>
                <w:lang w:val="fi-FI" w:eastAsia="en-GB"/>
              </w:rPr>
              <w:t>2</w:t>
            </w:r>
          </w:p>
        </w:tc>
        <w:tc>
          <w:tcPr>
            <w:tcW w:w="3827" w:type="dxa"/>
            <w:shd w:val="clear" w:color="auto" w:fill="FFFF00"/>
          </w:tcPr>
          <w:p w14:paraId="448322F3" w14:textId="77777777" w:rsidR="00060524" w:rsidRPr="003A0DD3" w:rsidRDefault="00060524" w:rsidP="005F1ED6">
            <w:pPr>
              <w:rPr>
                <w:lang w:val="fi-FI" w:eastAsia="en-GB"/>
              </w:rPr>
            </w:pPr>
            <w:r w:rsidRPr="003A0DD3">
              <w:rPr>
                <w:lang w:val="fi-FI" w:eastAsia="en-GB"/>
              </w:rPr>
              <w:t>1</w:t>
            </w:r>
          </w:p>
        </w:tc>
      </w:tr>
      <w:tr w:rsidR="00060524" w:rsidRPr="003A0DD3" w14:paraId="56629BD5" w14:textId="77777777" w:rsidTr="005F1ED6">
        <w:trPr>
          <w:trHeight w:val="347"/>
        </w:trPr>
        <w:tc>
          <w:tcPr>
            <w:tcW w:w="2336" w:type="dxa"/>
          </w:tcPr>
          <w:p w14:paraId="4552743E" w14:textId="77777777" w:rsidR="00060524" w:rsidRPr="003A0DD3" w:rsidRDefault="00060524" w:rsidP="005F1ED6">
            <w:pPr>
              <w:rPr>
                <w:lang w:val="fi-FI" w:eastAsia="en-GB"/>
              </w:rPr>
            </w:pPr>
            <w:r w:rsidRPr="003A0DD3">
              <w:rPr>
                <w:lang w:val="fi-FI" w:eastAsia="en-GB"/>
              </w:rPr>
              <w:t>Järjestelmän riskitason määrittely</w:t>
            </w:r>
          </w:p>
        </w:tc>
        <w:tc>
          <w:tcPr>
            <w:tcW w:w="3188" w:type="dxa"/>
            <w:shd w:val="clear" w:color="auto" w:fill="C5E0B3"/>
          </w:tcPr>
          <w:p w14:paraId="07424A77" w14:textId="77777777" w:rsidR="00060524" w:rsidRPr="003A0DD3" w:rsidRDefault="00060524" w:rsidP="005F1ED6">
            <w:pPr>
              <w:rPr>
                <w:lang w:val="fi-FI" w:eastAsia="en-GB"/>
              </w:rPr>
            </w:pPr>
            <w:r w:rsidRPr="003A0DD3">
              <w:rPr>
                <w:lang w:val="fi-FI" w:eastAsia="en-GB"/>
              </w:rPr>
              <w:t xml:space="preserve">2 ½ </w:t>
            </w:r>
          </w:p>
        </w:tc>
        <w:tc>
          <w:tcPr>
            <w:tcW w:w="3827" w:type="dxa"/>
            <w:shd w:val="clear" w:color="auto" w:fill="C5E0B3"/>
          </w:tcPr>
          <w:p w14:paraId="152F65D7" w14:textId="77777777" w:rsidR="00060524" w:rsidRPr="003A0DD3" w:rsidRDefault="00060524" w:rsidP="005F1ED6">
            <w:pPr>
              <w:rPr>
                <w:lang w:val="fi-FI" w:eastAsia="en-GB"/>
              </w:rPr>
            </w:pPr>
            <w:r w:rsidRPr="003A0DD3">
              <w:rPr>
                <w:lang w:val="fi-FI" w:eastAsia="en-GB"/>
              </w:rPr>
              <w:t>2</w:t>
            </w:r>
          </w:p>
        </w:tc>
      </w:tr>
      <w:tr w:rsidR="00060524" w:rsidRPr="003A0DD3" w14:paraId="66ADADA6" w14:textId="77777777" w:rsidTr="005F1ED6">
        <w:trPr>
          <w:trHeight w:val="347"/>
        </w:trPr>
        <w:tc>
          <w:tcPr>
            <w:tcW w:w="2336" w:type="dxa"/>
          </w:tcPr>
          <w:p w14:paraId="20011319" w14:textId="77777777" w:rsidR="00060524" w:rsidRPr="003A0DD3" w:rsidRDefault="00060524" w:rsidP="005F1ED6">
            <w:pPr>
              <w:rPr>
                <w:lang w:val="fi-FI" w:eastAsia="en-GB"/>
              </w:rPr>
            </w:pPr>
            <w:r w:rsidRPr="003A0DD3">
              <w:rPr>
                <w:lang w:val="fi-FI" w:eastAsia="en-GB"/>
              </w:rPr>
              <w:t>Riskitason mukaisten prosessien määrittely</w:t>
            </w:r>
          </w:p>
        </w:tc>
        <w:tc>
          <w:tcPr>
            <w:tcW w:w="3188" w:type="dxa"/>
            <w:shd w:val="clear" w:color="auto" w:fill="FF3300"/>
          </w:tcPr>
          <w:p w14:paraId="64465BF4" w14:textId="77777777" w:rsidR="00060524" w:rsidRPr="003A0DD3" w:rsidRDefault="00060524" w:rsidP="005F1ED6">
            <w:pPr>
              <w:rPr>
                <w:lang w:val="fi-FI" w:eastAsia="en-GB"/>
              </w:rPr>
            </w:pPr>
            <w:r w:rsidRPr="003A0DD3">
              <w:rPr>
                <w:lang w:val="fi-FI" w:eastAsia="en-GB"/>
              </w:rPr>
              <w:t>0</w:t>
            </w:r>
          </w:p>
        </w:tc>
        <w:tc>
          <w:tcPr>
            <w:tcW w:w="3827" w:type="dxa"/>
            <w:shd w:val="clear" w:color="auto" w:fill="FFFF00"/>
          </w:tcPr>
          <w:p w14:paraId="7A42907B" w14:textId="77777777" w:rsidR="00060524" w:rsidRPr="003A0DD3" w:rsidRDefault="00060524" w:rsidP="005F1ED6">
            <w:pPr>
              <w:rPr>
                <w:lang w:val="fi-FI" w:eastAsia="en-GB"/>
              </w:rPr>
            </w:pPr>
            <w:r w:rsidRPr="003A0DD3">
              <w:rPr>
                <w:lang w:val="fi-FI" w:eastAsia="en-GB"/>
              </w:rPr>
              <w:t>1</w:t>
            </w:r>
          </w:p>
        </w:tc>
      </w:tr>
      <w:tr w:rsidR="00060524" w:rsidRPr="003A0DD3" w14:paraId="00A54C5C" w14:textId="77777777" w:rsidTr="005F1ED6">
        <w:trPr>
          <w:trHeight w:val="347"/>
        </w:trPr>
        <w:tc>
          <w:tcPr>
            <w:tcW w:w="2336" w:type="dxa"/>
          </w:tcPr>
          <w:p w14:paraId="2FEBB9F5" w14:textId="77777777" w:rsidR="00060524" w:rsidRPr="003A0DD3" w:rsidRDefault="00060524" w:rsidP="005F1ED6">
            <w:pPr>
              <w:rPr>
                <w:lang w:val="fi-FI" w:eastAsia="en-GB"/>
              </w:rPr>
            </w:pPr>
            <w:r w:rsidRPr="003A0DD3">
              <w:rPr>
                <w:lang w:val="fi-FI" w:eastAsia="en-GB"/>
              </w:rPr>
              <w:t>Vastuiden määrittely</w:t>
            </w:r>
          </w:p>
        </w:tc>
        <w:tc>
          <w:tcPr>
            <w:tcW w:w="3188" w:type="dxa"/>
            <w:shd w:val="clear" w:color="auto" w:fill="C5E0B3"/>
          </w:tcPr>
          <w:p w14:paraId="0149C120" w14:textId="77777777" w:rsidR="00060524" w:rsidRPr="003A0DD3" w:rsidRDefault="00060524" w:rsidP="005F1ED6">
            <w:pPr>
              <w:rPr>
                <w:lang w:val="fi-FI" w:eastAsia="en-GB"/>
              </w:rPr>
            </w:pPr>
            <w:r w:rsidRPr="003A0DD3">
              <w:rPr>
                <w:lang w:val="fi-FI" w:eastAsia="en-GB"/>
              </w:rPr>
              <w:t>2</w:t>
            </w:r>
          </w:p>
        </w:tc>
        <w:tc>
          <w:tcPr>
            <w:tcW w:w="3827" w:type="dxa"/>
            <w:shd w:val="clear" w:color="auto" w:fill="FFFF00"/>
          </w:tcPr>
          <w:p w14:paraId="0582A94B" w14:textId="77777777" w:rsidR="00060524" w:rsidRPr="003A0DD3" w:rsidRDefault="00060524" w:rsidP="005F1ED6">
            <w:pPr>
              <w:rPr>
                <w:lang w:val="fi-FI" w:eastAsia="en-GB"/>
              </w:rPr>
            </w:pPr>
            <w:r w:rsidRPr="003A0DD3">
              <w:rPr>
                <w:lang w:val="fi-FI" w:eastAsia="en-GB"/>
              </w:rPr>
              <w:t>1</w:t>
            </w:r>
          </w:p>
        </w:tc>
      </w:tr>
    </w:tbl>
    <w:p w14:paraId="636942A3" w14:textId="77777777" w:rsidR="00AE3F35" w:rsidRPr="003A0DD3" w:rsidRDefault="00AE3F35" w:rsidP="00050301"/>
    <w:p w14:paraId="410D59E9" w14:textId="7E6B3034" w:rsidR="004557A8" w:rsidRDefault="004557A8" w:rsidP="00050301">
      <w:pPr>
        <w:pStyle w:val="Heading2"/>
      </w:pPr>
      <w:r w:rsidRPr="003A0DD3">
        <w:t>Kehitysehdotuksia</w:t>
      </w:r>
      <w:r w:rsidR="00F91205">
        <w:t>:</w:t>
      </w:r>
    </w:p>
    <w:p w14:paraId="51F6B9CD" w14:textId="39DCE597" w:rsidR="004B209D" w:rsidRPr="004B209D" w:rsidRDefault="00151CF2" w:rsidP="004B209D">
      <w:pPr>
        <w:pStyle w:val="BodyText"/>
      </w:pPr>
      <w:r>
        <w:t xml:space="preserve">EU sääntelyyn liittyvien perusteiden </w:t>
      </w:r>
      <w:r w:rsidR="00863114">
        <w:t xml:space="preserve">koulutuksessa </w:t>
      </w:r>
      <w:r>
        <w:t>voi seuraavista ohjeista ja materiaaleista olla hyötyä</w:t>
      </w:r>
      <w:r w:rsidR="006A19EB">
        <w:t>:</w:t>
      </w:r>
      <w:r w:rsidR="00863114">
        <w:t xml:space="preserve"> </w:t>
      </w:r>
      <w:r w:rsidR="00863114">
        <w:rPr>
          <w:i/>
          <w:iCs/>
          <w:lang w:eastAsia="en-GB"/>
        </w:rPr>
        <w:t>L</w:t>
      </w:r>
      <w:r w:rsidR="00863114" w:rsidRPr="00863114">
        <w:rPr>
          <w:i/>
          <w:iCs/>
          <w:lang w:eastAsia="en-GB"/>
        </w:rPr>
        <w:t xml:space="preserve">istan muokkauksessa voit hyödyntää myös </w:t>
      </w:r>
      <w:proofErr w:type="spellStart"/>
      <w:r w:rsidR="00863114" w:rsidRPr="00863114">
        <w:rPr>
          <w:i/>
          <w:iCs/>
          <w:lang w:eastAsia="en-GB"/>
        </w:rPr>
        <w:t>HyväÄly</w:t>
      </w:r>
      <w:proofErr w:type="spellEnd"/>
      <w:r w:rsidR="00863114" w:rsidRPr="00863114">
        <w:rPr>
          <w:i/>
          <w:iCs/>
          <w:lang w:eastAsia="en-GB"/>
        </w:rPr>
        <w:t xml:space="preserve"> hankkeen materiaalipankin tarjoamia linkkejä ja kirjallisuutta</w:t>
      </w:r>
      <w:r w:rsidR="00863114">
        <w:rPr>
          <w:i/>
          <w:iCs/>
          <w:lang w:eastAsia="en-GB"/>
        </w:rPr>
        <w:t>.</w:t>
      </w:r>
    </w:p>
    <w:p w14:paraId="383F17D6" w14:textId="28B3D289" w:rsidR="004557A8" w:rsidRPr="003A0DD3" w:rsidRDefault="004557A8" w:rsidP="00645164">
      <w:pPr>
        <w:pStyle w:val="ListParagraph"/>
        <w:numPr>
          <w:ilvl w:val="0"/>
          <w:numId w:val="8"/>
        </w:numPr>
      </w:pPr>
      <w:r w:rsidRPr="003A0DD3">
        <w:t>Tutustu lainsäädäntöön ja ota selvää mitä tulee huomioida tekoälyn suhteen.</w:t>
      </w:r>
    </w:p>
    <w:p w14:paraId="67823E90" w14:textId="77777777" w:rsidR="004557A8" w:rsidRPr="003A0DD3" w:rsidRDefault="00B307BD" w:rsidP="00645164">
      <w:pPr>
        <w:pStyle w:val="ListParagraph"/>
        <w:numPr>
          <w:ilvl w:val="1"/>
          <w:numId w:val="8"/>
        </w:numPr>
      </w:pPr>
      <w:hyperlink r:id="rId16" w:history="1">
        <w:r w:rsidR="004557A8" w:rsidRPr="003A0DD3">
          <w:rPr>
            <w:color w:val="0563C1"/>
            <w:u w:val="single"/>
          </w:rPr>
          <w:t>https://eur-lex.europa.eu/eli/reg/2024/1689/oj/eng</w:t>
        </w:r>
      </w:hyperlink>
      <w:r w:rsidR="004557A8" w:rsidRPr="003A0DD3">
        <w:t xml:space="preserve"> (Virallinen tekoälysäädös)</w:t>
      </w:r>
    </w:p>
    <w:p w14:paraId="0AA701A4" w14:textId="77777777" w:rsidR="004557A8" w:rsidRPr="003A0DD3" w:rsidRDefault="00B307BD" w:rsidP="00645164">
      <w:pPr>
        <w:pStyle w:val="ListParagraph"/>
        <w:numPr>
          <w:ilvl w:val="1"/>
          <w:numId w:val="8"/>
        </w:numPr>
      </w:pPr>
      <w:hyperlink r:id="rId17" w:history="1">
        <w:r w:rsidR="004557A8" w:rsidRPr="003A0DD3">
          <w:rPr>
            <w:color w:val="0563C1"/>
            <w:u w:val="single"/>
          </w:rPr>
          <w:t>https://artificialintelligenceact.eu/</w:t>
        </w:r>
      </w:hyperlink>
      <w:r w:rsidR="004557A8" w:rsidRPr="003A0DD3">
        <w:t xml:space="preserve"> (EU ohjeita tekoälysäädökseen liittyen)</w:t>
      </w:r>
    </w:p>
    <w:p w14:paraId="43F6B690" w14:textId="77777777" w:rsidR="004557A8" w:rsidRPr="003A0DD3" w:rsidRDefault="00B307BD" w:rsidP="00645164">
      <w:pPr>
        <w:pStyle w:val="ListParagraph"/>
        <w:numPr>
          <w:ilvl w:val="1"/>
          <w:numId w:val="8"/>
        </w:numPr>
      </w:pPr>
      <w:hyperlink r:id="rId18" w:history="1">
        <w:r w:rsidR="004557A8" w:rsidRPr="003A0DD3">
          <w:rPr>
            <w:color w:val="0563C1"/>
            <w:u w:val="single"/>
          </w:rPr>
          <w:t>https://www.sitra.fi/hankkeet/tyokalut-digisaantelyn-soveltamiseen-liiketoiminnassa/</w:t>
        </w:r>
      </w:hyperlink>
    </w:p>
    <w:p w14:paraId="220F600E" w14:textId="3FB603CA" w:rsidR="004A1550" w:rsidRPr="003A0DD3" w:rsidRDefault="004557A8" w:rsidP="00645164">
      <w:pPr>
        <w:pStyle w:val="ListParagraph"/>
        <w:numPr>
          <w:ilvl w:val="0"/>
          <w:numId w:val="8"/>
        </w:numPr>
        <w:rPr>
          <w:i/>
        </w:rPr>
      </w:pPr>
      <w:r w:rsidRPr="003A0DD3">
        <w:t>Lue</w:t>
      </w:r>
      <w:r w:rsidR="004A1550" w:rsidRPr="003A0DD3">
        <w:t xml:space="preserve"> tekeillä olevan tekoälyoppaan tekoälyä koskeva luku: </w:t>
      </w:r>
      <w:r w:rsidR="004A1550" w:rsidRPr="003A0DD3">
        <w:rPr>
          <w:i/>
        </w:rPr>
        <w:t>Tekoälysäädös ja siihen valmistautuminen: Näin pääset alkuun</w:t>
      </w:r>
    </w:p>
    <w:p w14:paraId="44BC2C2E" w14:textId="6A670F86" w:rsidR="008E5DDD" w:rsidRPr="003A0DD3" w:rsidRDefault="008E5DDD" w:rsidP="00645164">
      <w:pPr>
        <w:pStyle w:val="ListParagraph"/>
        <w:numPr>
          <w:ilvl w:val="1"/>
          <w:numId w:val="8"/>
        </w:numPr>
        <w:rPr>
          <w:i/>
        </w:rPr>
      </w:pPr>
      <w:r w:rsidRPr="003A0DD3">
        <w:t>Liite 1.</w:t>
      </w:r>
    </w:p>
    <w:p w14:paraId="3D0546FA" w14:textId="6867EF5D" w:rsidR="00906B23" w:rsidRPr="003A0DD3" w:rsidRDefault="00906B23" w:rsidP="00645164">
      <w:pPr>
        <w:pStyle w:val="ListParagraph"/>
        <w:numPr>
          <w:ilvl w:val="0"/>
          <w:numId w:val="8"/>
        </w:numPr>
      </w:pPr>
      <w:r w:rsidRPr="003A0DD3">
        <w:t>Konsultoi</w:t>
      </w:r>
      <w:r w:rsidR="001801A7">
        <w:t xml:space="preserve"> kuitenkin</w:t>
      </w:r>
      <w:r w:rsidRPr="003A0DD3">
        <w:t xml:space="preserve"> </w:t>
      </w:r>
      <w:r w:rsidR="001801A7">
        <w:t xml:space="preserve">aina </w:t>
      </w:r>
      <w:r w:rsidRPr="003A0DD3">
        <w:t>epäselvissä tapauksissa lainsäädännön asiantuntijoita.</w:t>
      </w:r>
    </w:p>
    <w:p w14:paraId="5FE597F6" w14:textId="4D4F1204" w:rsidR="004A1550" w:rsidRPr="003A0DD3" w:rsidRDefault="004A1550" w:rsidP="00050301">
      <w:pPr>
        <w:pStyle w:val="ListParagraph"/>
      </w:pPr>
    </w:p>
    <w:p w14:paraId="7BAAB496" w14:textId="77777777" w:rsidR="004557A8" w:rsidRPr="003A0DD3" w:rsidRDefault="004557A8" w:rsidP="00050301">
      <w:pPr>
        <w:rPr>
          <w:rFonts w:ascii="Times New Roman" w:eastAsia="Times New Roman" w:hAnsi="Times New Roman" w:cs="Times New Roman"/>
          <w:kern w:val="36"/>
          <w:sz w:val="48"/>
          <w:szCs w:val="48"/>
          <w:lang w:eastAsia="en-GB"/>
        </w:rPr>
      </w:pPr>
      <w:r w:rsidRPr="003A0DD3">
        <w:br w:type="page"/>
      </w:r>
    </w:p>
    <w:p w14:paraId="5EDEDC25" w14:textId="77777777" w:rsidR="004557A8" w:rsidRPr="003A0DD3" w:rsidRDefault="004557A8" w:rsidP="00050301">
      <w:pPr>
        <w:pStyle w:val="Heading1"/>
        <w:rPr>
          <w:lang w:eastAsia="en-GB"/>
        </w:rPr>
      </w:pPr>
      <w:r w:rsidRPr="003A0DD3">
        <w:rPr>
          <w:lang w:eastAsia="en-GB"/>
        </w:rPr>
        <w:lastRenderedPageBreak/>
        <w:t>Etiikka ja arvojohtaminen</w:t>
      </w:r>
    </w:p>
    <w:p w14:paraId="4CF83732" w14:textId="6D68D91C" w:rsidR="008E5DDD" w:rsidRPr="003A0DD3" w:rsidRDefault="006A19EB" w:rsidP="00050301">
      <w:r>
        <w:t>E</w:t>
      </w:r>
      <w:r w:rsidR="007032C1">
        <w:t xml:space="preserve">tiikkaan ja arvojohtamiseen liittyvä kyvykkyys on </w:t>
      </w:r>
      <w:r>
        <w:t xml:space="preserve">… </w:t>
      </w:r>
      <w:r w:rsidRPr="00863114">
        <w:rPr>
          <w:i/>
          <w:iCs/>
          <w:lang w:eastAsia="en-GB"/>
        </w:rPr>
        <w:t xml:space="preserve">luonnehdi käytyä keskustelua </w:t>
      </w:r>
      <w:r>
        <w:rPr>
          <w:i/>
          <w:iCs/>
          <w:lang w:eastAsia="en-GB"/>
        </w:rPr>
        <w:t xml:space="preserve">eri osa-alueilla n. </w:t>
      </w:r>
      <w:r w:rsidRPr="00863114">
        <w:rPr>
          <w:i/>
          <w:iCs/>
          <w:lang w:eastAsia="en-GB"/>
        </w:rPr>
        <w:t>4-6 lauseella.</w:t>
      </w:r>
    </w:p>
    <w:p w14:paraId="3C92E30D" w14:textId="7545DCF9" w:rsidR="00A4491B" w:rsidRDefault="00050301" w:rsidP="00060524">
      <w:r w:rsidRPr="003A0DD3">
        <w:t xml:space="preserve">Taulukko </w:t>
      </w:r>
      <w:fldSimple w:instr=" SEQ Taulukko \* ARABIC ">
        <w:r w:rsidRPr="003A0DD3">
          <w:t>4</w:t>
        </w:r>
      </w:fldSimple>
      <w:r w:rsidRPr="003A0DD3">
        <w:t xml:space="preserve">. Kypsyysmallin itsearvioinnin tulokset </w:t>
      </w:r>
      <w:r w:rsidR="00060524">
        <w:t>xx</w:t>
      </w:r>
      <w:r w:rsidRPr="003A0DD3">
        <w:t>.</w:t>
      </w:r>
      <w:r w:rsidR="00060524">
        <w:t>xx</w:t>
      </w:r>
      <w:r w:rsidRPr="003A0DD3">
        <w:t>.202</w:t>
      </w:r>
      <w:r w:rsidR="00060524">
        <w:t>x</w:t>
      </w:r>
      <w:r w:rsidRPr="003A0DD3">
        <w:t>/Etiikka ja Arvojohtaminen</w:t>
      </w:r>
    </w:p>
    <w:tbl>
      <w:tblPr>
        <w:tblStyle w:val="TableGrid1"/>
        <w:tblW w:w="0" w:type="auto"/>
        <w:tblLook w:val="04A0" w:firstRow="1" w:lastRow="0" w:firstColumn="1" w:lastColumn="0" w:noHBand="0" w:noVBand="1"/>
      </w:tblPr>
      <w:tblGrid>
        <w:gridCol w:w="2336"/>
        <w:gridCol w:w="3188"/>
        <w:gridCol w:w="3827"/>
      </w:tblGrid>
      <w:tr w:rsidR="00060524" w:rsidRPr="003A0DD3" w14:paraId="5485A06C" w14:textId="77777777" w:rsidTr="005F1ED6">
        <w:trPr>
          <w:trHeight w:val="541"/>
        </w:trPr>
        <w:tc>
          <w:tcPr>
            <w:tcW w:w="9351" w:type="dxa"/>
            <w:gridSpan w:val="3"/>
            <w:shd w:val="clear" w:color="auto" w:fill="A6A6A6"/>
          </w:tcPr>
          <w:p w14:paraId="7889AB82" w14:textId="77777777" w:rsidR="00060524" w:rsidRPr="003A0DD3" w:rsidRDefault="00060524" w:rsidP="005F1ED6">
            <w:pPr>
              <w:rPr>
                <w:lang w:val="fi-FI" w:eastAsia="en-GB"/>
              </w:rPr>
            </w:pPr>
            <w:r w:rsidRPr="003A0DD3">
              <w:rPr>
                <w:lang w:val="fi-FI" w:eastAsia="en-GB"/>
              </w:rPr>
              <w:t>Etiikka ja arvojohtaminen</w:t>
            </w:r>
          </w:p>
        </w:tc>
      </w:tr>
      <w:tr w:rsidR="00060524" w:rsidRPr="003A0DD3" w14:paraId="4CD94239" w14:textId="77777777" w:rsidTr="005F1ED6">
        <w:trPr>
          <w:trHeight w:val="384"/>
        </w:trPr>
        <w:tc>
          <w:tcPr>
            <w:tcW w:w="2336" w:type="dxa"/>
            <w:shd w:val="clear" w:color="auto" w:fill="D9D9D9"/>
          </w:tcPr>
          <w:p w14:paraId="2568355D" w14:textId="77777777" w:rsidR="00060524" w:rsidRPr="003A0DD3" w:rsidRDefault="00060524" w:rsidP="005F1ED6">
            <w:pPr>
              <w:rPr>
                <w:lang w:val="fi-FI" w:eastAsia="en-GB"/>
              </w:rPr>
            </w:pPr>
            <w:r w:rsidRPr="003A0DD3">
              <w:rPr>
                <w:lang w:val="fi-FI" w:eastAsia="en-GB"/>
              </w:rPr>
              <w:t>Osa-alue</w:t>
            </w:r>
          </w:p>
        </w:tc>
        <w:tc>
          <w:tcPr>
            <w:tcW w:w="3188" w:type="dxa"/>
            <w:shd w:val="clear" w:color="auto" w:fill="D9D9D9"/>
          </w:tcPr>
          <w:p w14:paraId="29D3FA5E" w14:textId="77777777" w:rsidR="00060524" w:rsidRPr="003A0DD3" w:rsidRDefault="00060524" w:rsidP="005F1ED6">
            <w:pPr>
              <w:rPr>
                <w:lang w:val="fi-FI" w:eastAsia="en-GB"/>
              </w:rPr>
            </w:pPr>
            <w:r w:rsidRPr="003A0DD3">
              <w:rPr>
                <w:lang w:val="fi-FI" w:eastAsia="en-GB"/>
              </w:rPr>
              <w:t>Ryhmä 1. arvio</w:t>
            </w:r>
          </w:p>
        </w:tc>
        <w:tc>
          <w:tcPr>
            <w:tcW w:w="3827" w:type="dxa"/>
            <w:shd w:val="clear" w:color="auto" w:fill="D9D9D9"/>
          </w:tcPr>
          <w:p w14:paraId="4438A9DC" w14:textId="77777777" w:rsidR="00060524" w:rsidRPr="003A0DD3" w:rsidRDefault="00060524" w:rsidP="005F1ED6">
            <w:pPr>
              <w:rPr>
                <w:lang w:val="fi-FI" w:eastAsia="en-GB"/>
              </w:rPr>
            </w:pPr>
            <w:r w:rsidRPr="003A0DD3">
              <w:rPr>
                <w:lang w:val="fi-FI" w:eastAsia="en-GB"/>
              </w:rPr>
              <w:t>Ryhmä 2. arvio</w:t>
            </w:r>
          </w:p>
        </w:tc>
      </w:tr>
      <w:tr w:rsidR="00060524" w:rsidRPr="003A0DD3" w14:paraId="3AB3305B" w14:textId="77777777" w:rsidTr="005F1ED6">
        <w:trPr>
          <w:trHeight w:val="347"/>
        </w:trPr>
        <w:tc>
          <w:tcPr>
            <w:tcW w:w="2336" w:type="dxa"/>
          </w:tcPr>
          <w:p w14:paraId="45CE74BA" w14:textId="77777777" w:rsidR="00060524" w:rsidRPr="003A0DD3" w:rsidRDefault="00060524" w:rsidP="005F1ED6">
            <w:pPr>
              <w:rPr>
                <w:lang w:val="fi-FI" w:eastAsia="en-GB"/>
              </w:rPr>
            </w:pPr>
            <w:r w:rsidRPr="003A0DD3">
              <w:rPr>
                <w:lang w:val="fi-FI" w:eastAsia="en-GB"/>
              </w:rPr>
              <w:t>Oman alan eettisten koodien tuntemus ja hyödyntäminen</w:t>
            </w:r>
          </w:p>
        </w:tc>
        <w:tc>
          <w:tcPr>
            <w:tcW w:w="3188" w:type="dxa"/>
            <w:shd w:val="clear" w:color="auto" w:fill="70AD47"/>
          </w:tcPr>
          <w:p w14:paraId="1C60CC41" w14:textId="77777777" w:rsidR="00060524" w:rsidRPr="003A0DD3" w:rsidRDefault="00060524" w:rsidP="005F1ED6">
            <w:pPr>
              <w:rPr>
                <w:lang w:val="fi-FI" w:eastAsia="en-GB"/>
              </w:rPr>
            </w:pPr>
            <w:r w:rsidRPr="003A0DD3">
              <w:rPr>
                <w:lang w:val="fi-FI" w:eastAsia="en-GB"/>
              </w:rPr>
              <w:t>4</w:t>
            </w:r>
          </w:p>
        </w:tc>
        <w:tc>
          <w:tcPr>
            <w:tcW w:w="3827" w:type="dxa"/>
            <w:shd w:val="clear" w:color="auto" w:fill="E2EFD9"/>
          </w:tcPr>
          <w:p w14:paraId="4888946F" w14:textId="77777777" w:rsidR="00060524" w:rsidRPr="003A0DD3" w:rsidRDefault="00060524" w:rsidP="005F1ED6">
            <w:pPr>
              <w:rPr>
                <w:lang w:val="fi-FI" w:eastAsia="en-GB"/>
              </w:rPr>
            </w:pPr>
            <w:r w:rsidRPr="003A0DD3">
              <w:rPr>
                <w:lang w:val="fi-FI" w:eastAsia="en-GB"/>
              </w:rPr>
              <w:t>2</w:t>
            </w:r>
          </w:p>
        </w:tc>
      </w:tr>
      <w:tr w:rsidR="00060524" w:rsidRPr="003A0DD3" w14:paraId="3F2B1421" w14:textId="77777777" w:rsidTr="005F1ED6">
        <w:trPr>
          <w:trHeight w:val="347"/>
        </w:trPr>
        <w:tc>
          <w:tcPr>
            <w:tcW w:w="2336" w:type="dxa"/>
          </w:tcPr>
          <w:p w14:paraId="0752D839" w14:textId="77777777" w:rsidR="00060524" w:rsidRPr="003A0DD3" w:rsidRDefault="00060524" w:rsidP="005F1ED6">
            <w:pPr>
              <w:rPr>
                <w:lang w:val="fi-FI" w:eastAsia="en-GB"/>
              </w:rPr>
            </w:pPr>
            <w:r w:rsidRPr="003A0DD3">
              <w:rPr>
                <w:lang w:val="fi-FI" w:eastAsia="en-GB"/>
              </w:rPr>
              <w:t>Oma eettinen (tekoäly) ohjeistus</w:t>
            </w:r>
          </w:p>
        </w:tc>
        <w:tc>
          <w:tcPr>
            <w:tcW w:w="3188" w:type="dxa"/>
            <w:shd w:val="clear" w:color="auto" w:fill="auto"/>
          </w:tcPr>
          <w:p w14:paraId="103DA8EC" w14:textId="77777777" w:rsidR="00060524" w:rsidRPr="003A0DD3" w:rsidRDefault="00060524" w:rsidP="005F1ED6">
            <w:pPr>
              <w:rPr>
                <w:lang w:val="fi-FI" w:eastAsia="en-GB"/>
              </w:rPr>
            </w:pPr>
            <w:r w:rsidRPr="003A0DD3">
              <w:rPr>
                <w:lang w:val="fi-FI" w:eastAsia="en-GB"/>
              </w:rPr>
              <w:t>Ei merkattu</w:t>
            </w:r>
          </w:p>
        </w:tc>
        <w:tc>
          <w:tcPr>
            <w:tcW w:w="3827" w:type="dxa"/>
            <w:shd w:val="clear" w:color="auto" w:fill="E2EFD9"/>
          </w:tcPr>
          <w:p w14:paraId="288631A3" w14:textId="77777777" w:rsidR="00060524" w:rsidRPr="003A0DD3" w:rsidRDefault="00060524" w:rsidP="005F1ED6">
            <w:pPr>
              <w:rPr>
                <w:lang w:val="fi-FI" w:eastAsia="en-GB"/>
              </w:rPr>
            </w:pPr>
            <w:r w:rsidRPr="003A0DD3">
              <w:rPr>
                <w:lang w:val="fi-FI" w:eastAsia="en-GB"/>
              </w:rPr>
              <w:t>2</w:t>
            </w:r>
          </w:p>
        </w:tc>
      </w:tr>
      <w:tr w:rsidR="00060524" w:rsidRPr="003A0DD3" w14:paraId="66F7E73C" w14:textId="77777777" w:rsidTr="005F1ED6">
        <w:trPr>
          <w:trHeight w:val="347"/>
        </w:trPr>
        <w:tc>
          <w:tcPr>
            <w:tcW w:w="2336" w:type="dxa"/>
          </w:tcPr>
          <w:p w14:paraId="72B00EA0" w14:textId="77777777" w:rsidR="00060524" w:rsidRPr="003A0DD3" w:rsidRDefault="00060524" w:rsidP="005F1ED6">
            <w:pPr>
              <w:rPr>
                <w:lang w:val="fi-FI" w:eastAsia="en-GB"/>
              </w:rPr>
            </w:pPr>
            <w:r w:rsidRPr="003A0DD3">
              <w:rPr>
                <w:lang w:val="fi-FI" w:eastAsia="en-GB"/>
              </w:rPr>
              <w:t>Yleinen eettinen osaaminen</w:t>
            </w:r>
          </w:p>
        </w:tc>
        <w:tc>
          <w:tcPr>
            <w:tcW w:w="3188" w:type="dxa"/>
            <w:shd w:val="clear" w:color="auto" w:fill="70AD47"/>
          </w:tcPr>
          <w:p w14:paraId="672E0BC1" w14:textId="77777777" w:rsidR="00060524" w:rsidRPr="003A0DD3" w:rsidRDefault="00060524" w:rsidP="005F1ED6">
            <w:pPr>
              <w:rPr>
                <w:lang w:val="fi-FI" w:eastAsia="en-GB"/>
              </w:rPr>
            </w:pPr>
            <w:r w:rsidRPr="003A0DD3">
              <w:rPr>
                <w:lang w:val="fi-FI" w:eastAsia="en-GB"/>
              </w:rPr>
              <w:t>4</w:t>
            </w:r>
          </w:p>
        </w:tc>
        <w:tc>
          <w:tcPr>
            <w:tcW w:w="3827" w:type="dxa"/>
            <w:shd w:val="clear" w:color="auto" w:fill="E2EFD9"/>
          </w:tcPr>
          <w:p w14:paraId="6C85E039" w14:textId="77777777" w:rsidR="00060524" w:rsidRPr="003A0DD3" w:rsidRDefault="00060524" w:rsidP="005F1ED6">
            <w:pPr>
              <w:rPr>
                <w:lang w:val="fi-FI" w:eastAsia="en-GB"/>
              </w:rPr>
            </w:pPr>
            <w:r w:rsidRPr="003A0DD3">
              <w:rPr>
                <w:lang w:val="fi-FI" w:eastAsia="en-GB"/>
              </w:rPr>
              <w:t>2</w:t>
            </w:r>
          </w:p>
        </w:tc>
      </w:tr>
      <w:tr w:rsidR="00060524" w:rsidRPr="003A0DD3" w14:paraId="5BAE3D52" w14:textId="77777777" w:rsidTr="005F1ED6">
        <w:trPr>
          <w:trHeight w:val="347"/>
        </w:trPr>
        <w:tc>
          <w:tcPr>
            <w:tcW w:w="2336" w:type="dxa"/>
          </w:tcPr>
          <w:p w14:paraId="4F6EE4CD" w14:textId="77777777" w:rsidR="00060524" w:rsidRPr="003A0DD3" w:rsidRDefault="00060524" w:rsidP="005F1ED6">
            <w:pPr>
              <w:rPr>
                <w:lang w:val="fi-FI" w:eastAsia="en-GB"/>
              </w:rPr>
            </w:pPr>
            <w:r w:rsidRPr="003A0DD3">
              <w:rPr>
                <w:lang w:val="fi-FI" w:eastAsia="en-GB"/>
              </w:rPr>
              <w:t>Yrityksen arvot</w:t>
            </w:r>
          </w:p>
        </w:tc>
        <w:tc>
          <w:tcPr>
            <w:tcW w:w="3188" w:type="dxa"/>
            <w:shd w:val="clear" w:color="auto" w:fill="A8D08D"/>
          </w:tcPr>
          <w:p w14:paraId="6C4C7DE9" w14:textId="77777777" w:rsidR="00060524" w:rsidRPr="003A0DD3" w:rsidRDefault="00060524" w:rsidP="005F1ED6">
            <w:pPr>
              <w:rPr>
                <w:lang w:val="fi-FI" w:eastAsia="en-GB"/>
              </w:rPr>
            </w:pPr>
            <w:r w:rsidRPr="003A0DD3">
              <w:rPr>
                <w:lang w:val="fi-FI" w:eastAsia="en-GB"/>
              </w:rPr>
              <w:t>3 1/2</w:t>
            </w:r>
          </w:p>
        </w:tc>
        <w:tc>
          <w:tcPr>
            <w:tcW w:w="3827" w:type="dxa"/>
            <w:shd w:val="clear" w:color="auto" w:fill="A8D08D"/>
          </w:tcPr>
          <w:p w14:paraId="4D8753FF" w14:textId="77777777" w:rsidR="00060524" w:rsidRPr="003A0DD3" w:rsidRDefault="00060524" w:rsidP="005F1ED6">
            <w:pPr>
              <w:rPr>
                <w:lang w:val="fi-FI" w:eastAsia="en-GB"/>
              </w:rPr>
            </w:pPr>
            <w:r w:rsidRPr="003A0DD3">
              <w:rPr>
                <w:lang w:val="fi-FI" w:eastAsia="en-GB"/>
              </w:rPr>
              <w:t>3</w:t>
            </w:r>
          </w:p>
        </w:tc>
      </w:tr>
      <w:tr w:rsidR="00060524" w:rsidRPr="003A0DD3" w14:paraId="33234E15" w14:textId="77777777" w:rsidTr="005F1ED6">
        <w:trPr>
          <w:trHeight w:val="347"/>
        </w:trPr>
        <w:tc>
          <w:tcPr>
            <w:tcW w:w="2336" w:type="dxa"/>
          </w:tcPr>
          <w:p w14:paraId="46734AE8" w14:textId="77777777" w:rsidR="00060524" w:rsidRPr="003A0DD3" w:rsidRDefault="00060524" w:rsidP="005F1ED6">
            <w:pPr>
              <w:rPr>
                <w:lang w:val="fi-FI" w:eastAsia="en-GB"/>
              </w:rPr>
            </w:pPr>
            <w:r w:rsidRPr="003A0DD3">
              <w:rPr>
                <w:lang w:val="fi-FI" w:eastAsia="en-GB"/>
              </w:rPr>
              <w:t>Tekoälyn käytön vaikutus ympäristöön</w:t>
            </w:r>
          </w:p>
        </w:tc>
        <w:tc>
          <w:tcPr>
            <w:tcW w:w="3188" w:type="dxa"/>
            <w:shd w:val="clear" w:color="auto" w:fill="FFFF00"/>
          </w:tcPr>
          <w:p w14:paraId="500D7122" w14:textId="77777777" w:rsidR="00060524" w:rsidRPr="003A0DD3" w:rsidRDefault="00060524" w:rsidP="005F1ED6">
            <w:pPr>
              <w:rPr>
                <w:lang w:val="fi-FI" w:eastAsia="en-GB"/>
              </w:rPr>
            </w:pPr>
            <w:r w:rsidRPr="003A0DD3">
              <w:rPr>
                <w:lang w:val="fi-FI" w:eastAsia="en-GB"/>
              </w:rPr>
              <w:t>1</w:t>
            </w:r>
          </w:p>
        </w:tc>
        <w:tc>
          <w:tcPr>
            <w:tcW w:w="3827" w:type="dxa"/>
            <w:shd w:val="clear" w:color="auto" w:fill="FFFF00"/>
          </w:tcPr>
          <w:p w14:paraId="2EBA10CD" w14:textId="77777777" w:rsidR="00060524" w:rsidRPr="003A0DD3" w:rsidRDefault="00060524" w:rsidP="005F1ED6">
            <w:pPr>
              <w:rPr>
                <w:lang w:val="fi-FI" w:eastAsia="en-GB"/>
              </w:rPr>
            </w:pPr>
            <w:r w:rsidRPr="003A0DD3">
              <w:rPr>
                <w:lang w:val="fi-FI" w:eastAsia="en-GB"/>
              </w:rPr>
              <w:t>1</w:t>
            </w:r>
          </w:p>
        </w:tc>
      </w:tr>
    </w:tbl>
    <w:p w14:paraId="627C4B7E" w14:textId="77777777" w:rsidR="00A4491B" w:rsidRPr="00A4491B" w:rsidRDefault="00A4491B" w:rsidP="00A4491B"/>
    <w:p w14:paraId="54E6D7F3" w14:textId="77777777" w:rsidR="00050301" w:rsidRPr="003A0DD3" w:rsidRDefault="00050301" w:rsidP="00050301">
      <w:pPr>
        <w:pStyle w:val="Heading2"/>
      </w:pPr>
      <w:r w:rsidRPr="003A0DD3">
        <w:t xml:space="preserve">Kehitysehdotuksia: </w:t>
      </w:r>
    </w:p>
    <w:p w14:paraId="36F76E67" w14:textId="6ADA8960" w:rsidR="00050301" w:rsidRPr="003A0DD3" w:rsidRDefault="00050301" w:rsidP="006A19EB">
      <w:pPr>
        <w:pStyle w:val="ListParagraph"/>
        <w:numPr>
          <w:ilvl w:val="0"/>
          <w:numId w:val="4"/>
        </w:numPr>
      </w:pPr>
      <w:r w:rsidRPr="003A0DD3">
        <w:t>Tutustuminen oman alan eettisiin koodistoihin ja oman eettisen ohjeistuksen dokumentointi (voi olla myös valmiin koodin käyttöönotto, kts. alla olevat linkit)</w:t>
      </w:r>
      <w:r w:rsidR="006A19EB">
        <w:t xml:space="preserve"> </w:t>
      </w:r>
      <w:r w:rsidR="006A19EB" w:rsidRPr="006A19EB">
        <w:rPr>
          <w:i/>
          <w:iCs/>
          <w:lang w:eastAsia="en-GB"/>
        </w:rPr>
        <w:t xml:space="preserve">Listan muokkauksessa voit hyödyntää myös </w:t>
      </w:r>
      <w:proofErr w:type="spellStart"/>
      <w:r w:rsidR="006A19EB" w:rsidRPr="006A19EB">
        <w:rPr>
          <w:i/>
          <w:iCs/>
          <w:lang w:eastAsia="en-GB"/>
        </w:rPr>
        <w:t>HyväÄly</w:t>
      </w:r>
      <w:proofErr w:type="spellEnd"/>
      <w:r w:rsidR="006A19EB" w:rsidRPr="006A19EB">
        <w:rPr>
          <w:i/>
          <w:iCs/>
          <w:lang w:eastAsia="en-GB"/>
        </w:rPr>
        <w:t xml:space="preserve"> hankkeen materiaalipankin tarjoamia linkkejä ja kirjallisuutta</w:t>
      </w:r>
      <w:r w:rsidR="006A19EB" w:rsidRPr="006A19EB">
        <w:rPr>
          <w:i/>
          <w:iCs/>
          <w:lang w:eastAsia="en-GB"/>
        </w:rPr>
        <w:t>.</w:t>
      </w:r>
    </w:p>
    <w:p w14:paraId="4D533930" w14:textId="77777777" w:rsidR="00050301" w:rsidRPr="003A0DD3" w:rsidRDefault="00B307BD" w:rsidP="00645164">
      <w:pPr>
        <w:pStyle w:val="ListParagraph"/>
        <w:numPr>
          <w:ilvl w:val="1"/>
          <w:numId w:val="5"/>
        </w:numPr>
      </w:pPr>
      <w:hyperlink r:id="rId19" w:history="1">
        <w:r w:rsidR="00050301" w:rsidRPr="003A0DD3">
          <w:rPr>
            <w:color w:val="0563C1"/>
            <w:u w:val="single"/>
          </w:rPr>
          <w:t>https://www.acm.org/code-of-ethics</w:t>
        </w:r>
      </w:hyperlink>
    </w:p>
    <w:p w14:paraId="0CC5C321" w14:textId="0FFD7838" w:rsidR="00050301" w:rsidRPr="003A0DD3" w:rsidRDefault="00B307BD" w:rsidP="00645164">
      <w:pPr>
        <w:pStyle w:val="ListParagraph"/>
        <w:numPr>
          <w:ilvl w:val="1"/>
          <w:numId w:val="5"/>
        </w:numPr>
      </w:pPr>
      <w:hyperlink r:id="rId20" w:history="1">
        <w:r w:rsidR="00050301" w:rsidRPr="003A0DD3">
          <w:rPr>
            <w:color w:val="0563C1"/>
            <w:u w:val="single"/>
          </w:rPr>
          <w:t>https://www.ieee.org/content/dam/ieee-org/ieee/web/org/about/corporate/ieee-code-of-ethics.pdf</w:t>
        </w:r>
      </w:hyperlink>
    </w:p>
    <w:p w14:paraId="2F2E6EC3" w14:textId="60727B42" w:rsidR="00050301" w:rsidRPr="003A0DD3" w:rsidRDefault="00B307BD" w:rsidP="00645164">
      <w:pPr>
        <w:pStyle w:val="ListParagraph"/>
        <w:numPr>
          <w:ilvl w:val="1"/>
          <w:numId w:val="5"/>
        </w:numPr>
      </w:pPr>
      <w:hyperlink r:id="rId21" w:history="1">
        <w:r w:rsidR="00050301" w:rsidRPr="003A0DD3">
          <w:rPr>
            <w:rStyle w:val="Hyperlink"/>
          </w:rPr>
          <w:t>https://tivia.fi/en/toimiala/etiikan-ohjeet</w:t>
        </w:r>
      </w:hyperlink>
    </w:p>
    <w:p w14:paraId="22EF6D91" w14:textId="77777777" w:rsidR="00050301" w:rsidRPr="003A0DD3" w:rsidRDefault="00050301" w:rsidP="00050301">
      <w:pPr>
        <w:pStyle w:val="ListParagraph"/>
        <w:ind w:left="1440"/>
      </w:pPr>
    </w:p>
    <w:p w14:paraId="19DB708E" w14:textId="77777777" w:rsidR="00050301" w:rsidRPr="003A0DD3" w:rsidRDefault="00050301" w:rsidP="00645164">
      <w:pPr>
        <w:pStyle w:val="ListParagraph"/>
        <w:numPr>
          <w:ilvl w:val="0"/>
          <w:numId w:val="5"/>
        </w:numPr>
      </w:pPr>
      <w:r w:rsidRPr="003A0DD3">
        <w:t>Etiikan tuntemuksen lisääminen organisaatiossa.</w:t>
      </w:r>
    </w:p>
    <w:p w14:paraId="1279A778" w14:textId="77777777" w:rsidR="00050301" w:rsidRPr="003A0DD3" w:rsidRDefault="00B307BD" w:rsidP="00645164">
      <w:pPr>
        <w:pStyle w:val="ListParagraph"/>
        <w:numPr>
          <w:ilvl w:val="1"/>
          <w:numId w:val="5"/>
        </w:numPr>
      </w:pPr>
      <w:hyperlink r:id="rId22" w:history="1">
        <w:r w:rsidR="00050301" w:rsidRPr="003A0DD3">
          <w:rPr>
            <w:color w:val="0563C1"/>
            <w:u w:val="single"/>
          </w:rPr>
          <w:t>https://www.youtube.com/watch?v=Xki2fRA0bY8</w:t>
        </w:r>
      </w:hyperlink>
    </w:p>
    <w:p w14:paraId="601A5CB1" w14:textId="77777777" w:rsidR="00050301" w:rsidRPr="003A0DD3" w:rsidRDefault="00B307BD" w:rsidP="00645164">
      <w:pPr>
        <w:pStyle w:val="ListParagraph"/>
        <w:numPr>
          <w:ilvl w:val="1"/>
          <w:numId w:val="5"/>
        </w:numPr>
      </w:pPr>
      <w:hyperlink r:id="rId23" w:history="1">
        <w:r w:rsidR="00050301" w:rsidRPr="003A0DD3">
          <w:rPr>
            <w:color w:val="0563C1"/>
            <w:u w:val="single"/>
          </w:rPr>
          <w:t>https://ethics-of-ai.mooc.fi/</w:t>
        </w:r>
      </w:hyperlink>
    </w:p>
    <w:p w14:paraId="6E62D1AF" w14:textId="0F599597" w:rsidR="00050301" w:rsidRPr="003A0DD3" w:rsidRDefault="00B307BD" w:rsidP="00645164">
      <w:pPr>
        <w:pStyle w:val="ListParagraph"/>
        <w:numPr>
          <w:ilvl w:val="1"/>
          <w:numId w:val="5"/>
        </w:numPr>
      </w:pPr>
      <w:hyperlink r:id="rId24" w:history="1">
        <w:r w:rsidR="00050301" w:rsidRPr="003A0DD3">
          <w:rPr>
            <w:color w:val="0563C1"/>
            <w:u w:val="single"/>
          </w:rPr>
          <w:t>https://en.wikipedia.org/wiki/Normative_ethics</w:t>
        </w:r>
      </w:hyperlink>
    </w:p>
    <w:p w14:paraId="6EBC1272" w14:textId="5E68EF22" w:rsidR="008E5DDD" w:rsidRPr="003A0DD3" w:rsidRDefault="00B307BD" w:rsidP="00645164">
      <w:pPr>
        <w:pStyle w:val="ListParagraph"/>
        <w:numPr>
          <w:ilvl w:val="1"/>
          <w:numId w:val="5"/>
        </w:numPr>
      </w:pPr>
      <w:hyperlink r:id="rId25" w:history="1">
        <w:r w:rsidR="00050301" w:rsidRPr="003A0DD3">
          <w:rPr>
            <w:color w:val="0563C1"/>
            <w:u w:val="single"/>
          </w:rPr>
          <w:t>https://en.wikipedia.org/wiki/Ethics</w:t>
        </w:r>
      </w:hyperlink>
      <w:r w:rsidR="008E5DDD" w:rsidRPr="003A0DD3">
        <w:br w:type="page"/>
      </w:r>
    </w:p>
    <w:p w14:paraId="2203599F" w14:textId="63201B53" w:rsidR="008E5DDD" w:rsidRPr="003A0DD3" w:rsidRDefault="008E5DDD" w:rsidP="003A0DD3">
      <w:pPr>
        <w:pStyle w:val="Heading1"/>
      </w:pPr>
      <w:r w:rsidRPr="003A0DD3">
        <w:lastRenderedPageBreak/>
        <w:t>Liite 1</w:t>
      </w:r>
      <w:r w:rsidR="00DD3DAD">
        <w:t>.</w:t>
      </w:r>
    </w:p>
    <w:p w14:paraId="7591DBB6" w14:textId="77777777" w:rsidR="008E5DDD" w:rsidRPr="003A0DD3" w:rsidRDefault="008E5DDD" w:rsidP="008E5DDD">
      <w:pPr>
        <w:spacing w:after="80"/>
        <w:contextualSpacing/>
        <w:rPr>
          <w:rFonts w:ascii="Arial" w:eastAsia="Times New Roman" w:hAnsi="Arial"/>
          <w:b/>
          <w:bCs/>
          <w:spacing w:val="-10"/>
          <w:kern w:val="28"/>
          <w:sz w:val="44"/>
          <w:szCs w:val="44"/>
          <w14:ligatures w14:val="standardContextual"/>
        </w:rPr>
      </w:pPr>
      <w:r w:rsidRPr="003A0DD3">
        <w:rPr>
          <w:rFonts w:ascii="Arial" w:eastAsia="Times New Roman" w:hAnsi="Arial"/>
          <w:b/>
          <w:bCs/>
          <w:spacing w:val="-10"/>
          <w:kern w:val="28"/>
          <w:sz w:val="44"/>
          <w:szCs w:val="44"/>
          <w14:ligatures w14:val="standardContextual"/>
        </w:rPr>
        <w:t>Tekoälysäädös ja siihen valmistautuminen: Näin pääset alkuun</w:t>
      </w:r>
    </w:p>
    <w:p w14:paraId="77A6C2BC" w14:textId="77777777" w:rsidR="008E5DDD" w:rsidRPr="003A0DD3" w:rsidRDefault="008E5DDD" w:rsidP="008E5DDD">
      <w:pPr>
        <w:rPr>
          <w:rFonts w:ascii="Arial" w:eastAsia="Aptos" w:hAnsi="Arial"/>
          <w:kern w:val="2"/>
          <w:sz w:val="24"/>
          <w:szCs w:val="24"/>
          <w14:ligatures w14:val="standardContextual"/>
        </w:rPr>
      </w:pPr>
    </w:p>
    <w:p w14:paraId="53899C9C"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EU:n tekoälysäädöksen valmistelu aloitettiin vuonna 2021. Säädös astui voimaan viimein elokuussa 2024 pitkien poliittisten neuvottelujen tuloksena. Säädös asettaa tekoälyjärjestelmien kehittäjille ja käyttöönottajille vaatimuksia sen mukaan, mihin säädöksen riskiluokkaan järjestelmä kuuluu ja mikä organisaation rooli on suhteessa järjestelmään.</w:t>
      </w:r>
    </w:p>
    <w:p w14:paraId="6149DF51" w14:textId="77777777" w:rsidR="008E5DDD" w:rsidRPr="003A0DD3" w:rsidRDefault="008E5DDD" w:rsidP="008E5DDD">
      <w:pPr>
        <w:rPr>
          <w:rFonts w:ascii="Arial" w:eastAsia="Aptos" w:hAnsi="Arial"/>
          <w:kern w:val="2"/>
          <w:sz w:val="24"/>
          <w:szCs w:val="24"/>
          <w14:ligatures w14:val="standardContextual"/>
        </w:rPr>
      </w:pPr>
    </w:p>
    <w:p w14:paraId="6A090DAD"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Laki on monin paikoin monimutkainen, ja odotammekin vielä EU:lta tulkintaohjeita sekä standardeja, joiden avulla säädösten vaatimuksiin voidaan tosiasiassa tarttua. Ensimmäiset asteittain voimaan tulevista vaatimuksista vaatimukset kuitenkin koskevat organisaatioita jo helmikuussa 2025, joten nyt on aika aloittaa valmistautuminen.</w:t>
      </w:r>
    </w:p>
    <w:p w14:paraId="785E8B39" w14:textId="77777777" w:rsidR="008E5DDD" w:rsidRPr="003A0DD3" w:rsidRDefault="008E5DDD" w:rsidP="008E5DDD">
      <w:pPr>
        <w:rPr>
          <w:rFonts w:ascii="Arial" w:eastAsia="Aptos" w:hAnsi="Arial"/>
          <w:kern w:val="2"/>
          <w:sz w:val="24"/>
          <w:szCs w:val="24"/>
          <w14:ligatures w14:val="standardContextual"/>
        </w:rPr>
      </w:pPr>
    </w:p>
    <w:p w14:paraId="5E1000B1"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Tämän oppaan tarkoituksena on auttaa organisaatioita alkuun tekoälysäädöksen kanssa. Tämän oppaan avulla saat käsityksen siitä, millaisia vaatimuksia tekoälysäädös tuo ja kenelle, mistä valmistautuminen kannattaa aloittaa ja millaista työtä vaatimusten täyttäminen lopulta vaatii. Tarvitset työssä välillä myös tukea juristilta, joka tietää toimintaympäristösi erityispiirteet. Tästä pääset kuitenkin alkuun.</w:t>
      </w:r>
    </w:p>
    <w:p w14:paraId="26F7713A" w14:textId="77777777" w:rsidR="008E5DDD" w:rsidRPr="003A0DD3" w:rsidRDefault="008E5DDD" w:rsidP="008E5DDD">
      <w:pPr>
        <w:rPr>
          <w:rFonts w:ascii="Arial" w:eastAsia="Aptos" w:hAnsi="Arial"/>
          <w:kern w:val="2"/>
          <w:sz w:val="24"/>
          <w:szCs w:val="24"/>
          <w14:ligatures w14:val="standardContextual"/>
        </w:rPr>
      </w:pPr>
    </w:p>
    <w:p w14:paraId="7DBF7943" w14:textId="77777777" w:rsidR="008E5DDD" w:rsidRPr="003A0DD3" w:rsidRDefault="008E5DDD" w:rsidP="008E5DDD">
      <w:pPr>
        <w:pStyle w:val="Heading2"/>
      </w:pPr>
      <w:r w:rsidRPr="003A0DD3">
        <w:t>1. Tunnista, onko järjestelmä tekoälyä</w:t>
      </w:r>
    </w:p>
    <w:p w14:paraId="359BEC36" w14:textId="77777777" w:rsidR="008E5DDD" w:rsidRPr="003A0DD3" w:rsidRDefault="008E5DDD" w:rsidP="008E5DDD">
      <w:pPr>
        <w:rPr>
          <w:rFonts w:ascii="Arial" w:eastAsia="Aptos" w:hAnsi="Arial"/>
          <w:kern w:val="2"/>
          <w:sz w:val="24"/>
          <w:szCs w:val="24"/>
          <w14:ligatures w14:val="standardContextual"/>
        </w:rPr>
      </w:pPr>
    </w:p>
    <w:p w14:paraId="39C1AA9C"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Ensimmäinen askel on tunnistaa, onko käytössäsi järjestelmä, joka lasketaan EU:n tekoälysäädöksen mukaan tekoälyksi. Yrityksillä on nykyisellään taipumus mainostaa tekoälynä järjestelmiä myös silloin, kun ne perustuvat edistyneeseen analytiikkaan.</w:t>
      </w:r>
    </w:p>
    <w:p w14:paraId="55BAF817" w14:textId="77777777" w:rsidR="008E5DDD" w:rsidRPr="003A0DD3" w:rsidRDefault="008E5DDD" w:rsidP="008E5DDD">
      <w:pPr>
        <w:rPr>
          <w:rFonts w:ascii="Arial" w:eastAsia="Aptos" w:hAnsi="Arial"/>
          <w:kern w:val="2"/>
          <w:sz w:val="24"/>
          <w:szCs w:val="24"/>
          <w14:ligatures w14:val="standardContextual"/>
        </w:rPr>
      </w:pPr>
    </w:p>
    <w:p w14:paraId="00CC66E5"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Tekoälysäädöksen mukaan tekoälyjärjestelmänä pidetään: </w:t>
      </w:r>
    </w:p>
    <w:p w14:paraId="3C941F2E" w14:textId="77777777" w:rsidR="008E5DDD" w:rsidRPr="003A0DD3" w:rsidRDefault="008E5DDD" w:rsidP="008E5DDD">
      <w:pPr>
        <w:ind w:left="360"/>
        <w:rPr>
          <w:rFonts w:ascii="Arial" w:eastAsia="Aptos" w:hAnsi="Arial"/>
          <w:kern w:val="2"/>
          <w:sz w:val="24"/>
          <w:szCs w:val="24"/>
          <w14:ligatures w14:val="standardContextual"/>
        </w:rPr>
      </w:pPr>
      <w:r w:rsidRPr="003A0DD3">
        <w:rPr>
          <w:rFonts w:ascii="Arial" w:eastAsia="Aptos" w:hAnsi="Arial"/>
          <w:i/>
          <w:iCs/>
          <w:kern w:val="2"/>
          <w:sz w:val="24"/>
          <w:szCs w:val="24"/>
          <w14:ligatures w14:val="standardContextual"/>
        </w:rPr>
        <w:t xml:space="preserve">“konepohjaista järjestelmää, joka on suunniteltu toimimaan käyttöönoton jälkeen vaihtelevilla autonomian tasoilla ja jossa voi ilmetä mukautuvuutta käyttöönoton jälkeen ja joka päättelee vastaanottamastaan syötteestä eksplisiittisiä tai implisiittisiä tavoitteita varten, miten tuottaa tuotoksia, kuten ennusteita, sisältöä, suosituksia tai päätöksiä, jotka voivat vaikuttaa fyysisiin tai virtuaalisiin ympäristöihin” </w:t>
      </w:r>
      <w:r w:rsidRPr="003A0DD3">
        <w:rPr>
          <w:rFonts w:ascii="Arial" w:eastAsia="Aptos" w:hAnsi="Arial"/>
          <w:kern w:val="2"/>
          <w:sz w:val="24"/>
          <w:szCs w:val="24"/>
          <w14:ligatures w14:val="standardContextual"/>
        </w:rPr>
        <w:t>(Artikla 3.1).</w:t>
      </w:r>
    </w:p>
    <w:p w14:paraId="197D0633" w14:textId="77777777" w:rsidR="008E5DDD" w:rsidRPr="003A0DD3" w:rsidRDefault="008E5DDD" w:rsidP="008E5DDD">
      <w:pPr>
        <w:rPr>
          <w:rFonts w:ascii="Arial" w:eastAsia="Aptos" w:hAnsi="Arial"/>
          <w:b/>
          <w:bCs/>
          <w:kern w:val="2"/>
          <w:sz w:val="24"/>
          <w:szCs w:val="24"/>
          <w14:ligatures w14:val="standardContextual"/>
        </w:rPr>
      </w:pPr>
    </w:p>
    <w:p w14:paraId="6C639357"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Vaikka tekoälysäädös ei sitä suoranaisesti vaadi, on tekoälyjärjestelmät hyvä kirjata esimerkiksi tekoälyrekisteriin. Näin organisaatiosi on helppo pitää kirjaa siitä, mitä tekoälytyökaluja teillä on käytössä, mihin tekoälysäädöksen kategoriaan ne menevät, ja millaisia hallintatoimenpiteitä niiden eteen on jo suunniteltu tai tehty. Rekisteriin kannattaa merkitä myös järjestelmät, jotka eivät ole tekoälyä, jos määritelmä ei ole ollut täysin selvä. Näin voitte kirjata ylös myös perusteet sille, miksi järjestelmää ei ole katsottu säädöksen mukaiseksi tekoälyksi. Tästä on hyötyä, jos työkalun kohdalla on myöhemmin epäselvyyksiä.</w:t>
      </w:r>
    </w:p>
    <w:p w14:paraId="43184F04" w14:textId="77777777" w:rsidR="008E5DDD" w:rsidRPr="003A0DD3" w:rsidRDefault="008E5DDD" w:rsidP="008E5DDD">
      <w:pPr>
        <w:rPr>
          <w:rFonts w:ascii="Arial" w:eastAsia="Aptos" w:hAnsi="Arial"/>
          <w:kern w:val="2"/>
          <w:sz w:val="24"/>
          <w:szCs w:val="24"/>
          <w14:ligatures w14:val="standardContextual"/>
        </w:rPr>
      </w:pPr>
    </w:p>
    <w:p w14:paraId="169C2133" w14:textId="77777777" w:rsidR="008E5DDD" w:rsidRPr="003A0DD3" w:rsidRDefault="008E5DDD" w:rsidP="008E5DDD">
      <w:pPr>
        <w:pStyle w:val="Heading2"/>
      </w:pPr>
      <w:r w:rsidRPr="003A0DD3">
        <w:t>2. Tunnista organisaation rooli suhteessa tekoälyyn</w:t>
      </w:r>
    </w:p>
    <w:p w14:paraId="7EB265B5" w14:textId="77777777" w:rsidR="008E5DDD" w:rsidRPr="003A0DD3" w:rsidRDefault="008E5DDD" w:rsidP="008E5DDD">
      <w:pPr>
        <w:rPr>
          <w:rFonts w:ascii="Arial" w:eastAsia="Aptos" w:hAnsi="Arial"/>
          <w:kern w:val="2"/>
          <w:sz w:val="24"/>
          <w:szCs w:val="24"/>
          <w14:ligatures w14:val="standardContextual"/>
        </w:rPr>
      </w:pPr>
    </w:p>
    <w:p w14:paraId="1CF4DC33"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Tekoälysäädös määrittelee erilaisia vaatimuksia organisaatioille sen mukaan, mikä heidän roolinsa on suhteessa tekoälyjärjestelmään. Oman organisaation roolin tunnistaminen on tärkeää, jotta osaat kohdentaa resurssisi vain niihin vaatimuksiin, jotka todella koskevat sinun organisaatiotasi. Keskeisimpiä rooleja ovat:</w:t>
      </w:r>
    </w:p>
    <w:p w14:paraId="78B04559" w14:textId="77777777" w:rsidR="008E5DDD" w:rsidRPr="003A0DD3" w:rsidRDefault="008E5DDD" w:rsidP="008E5DDD">
      <w:pPr>
        <w:rPr>
          <w:rFonts w:ascii="Arial" w:eastAsia="Aptos" w:hAnsi="Arial"/>
          <w:kern w:val="2"/>
          <w:sz w:val="24"/>
          <w:szCs w:val="24"/>
          <w14:ligatures w14:val="standardContextual"/>
        </w:rPr>
      </w:pPr>
    </w:p>
    <w:p w14:paraId="1D6169B6" w14:textId="77777777" w:rsidR="008E5DDD" w:rsidRPr="003A0DD3" w:rsidRDefault="008E5DDD" w:rsidP="00645164">
      <w:pPr>
        <w:numPr>
          <w:ilvl w:val="0"/>
          <w:numId w:val="12"/>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Tarjoajat</w:t>
      </w:r>
      <w:r w:rsidRPr="003A0DD3">
        <w:rPr>
          <w:rFonts w:ascii="Arial" w:eastAsia="Aptos" w:hAnsi="Arial"/>
          <w:kern w:val="2"/>
          <w:sz w:val="24"/>
          <w:szCs w:val="24"/>
          <w14:ligatures w14:val="standardContextual"/>
        </w:rPr>
        <w:t xml:space="preserve"> (</w:t>
      </w:r>
      <w:proofErr w:type="spellStart"/>
      <w:r w:rsidRPr="003A0DD3">
        <w:rPr>
          <w:rFonts w:ascii="Arial" w:eastAsia="Aptos" w:hAnsi="Arial"/>
          <w:i/>
          <w:iCs/>
          <w:kern w:val="2"/>
          <w:sz w:val="24"/>
          <w:szCs w:val="24"/>
          <w14:ligatures w14:val="standardContextual"/>
        </w:rPr>
        <w:t>providers</w:t>
      </w:r>
      <w:proofErr w:type="spellEnd"/>
      <w:r w:rsidRPr="003A0DD3">
        <w:rPr>
          <w:rFonts w:ascii="Arial" w:eastAsia="Aptos" w:hAnsi="Arial"/>
          <w:kern w:val="2"/>
          <w:sz w:val="24"/>
          <w:szCs w:val="24"/>
          <w14:ligatures w14:val="standardContextual"/>
        </w:rPr>
        <w:t>), eli ne tahot, jotka kehittävät (tai kehityttävät) tekoälyjärjestelmän ja tuovat sen markkinoille tai omaan käyttöönsä. Tarjoajan roolilta ei voi välttyä tilaamalla sitä alihankkijalta, jos sen kuitenkin tuo markkinoille omalla brändillä varustettuna. Tarjoajan roolin voi myös saada, jos toisen kehittämään järjestelmään tekee merkittäviä muutoksia, tai käyttää sitä tarkoitukseen, johon alkuperäinen tarjoaja ei ole järjestelmää kehittänyt. Tekoälysäädöksen vaatimuksista suurin osa kohdistuu tekoälyjärjestelmien tarjoajiin.</w:t>
      </w:r>
    </w:p>
    <w:p w14:paraId="3D2120B1" w14:textId="77777777" w:rsidR="008E5DDD" w:rsidRPr="003A0DD3" w:rsidRDefault="008E5DDD" w:rsidP="008E5DDD">
      <w:pPr>
        <w:ind w:left="720"/>
        <w:contextualSpacing/>
        <w:rPr>
          <w:rFonts w:ascii="Arial" w:eastAsia="Aptos" w:hAnsi="Arial"/>
          <w:kern w:val="2"/>
          <w:sz w:val="24"/>
          <w:szCs w:val="24"/>
          <w14:ligatures w14:val="standardContextual"/>
        </w:rPr>
      </w:pPr>
    </w:p>
    <w:p w14:paraId="3AEFFB45" w14:textId="77777777" w:rsidR="008E5DDD" w:rsidRPr="003A0DD3" w:rsidRDefault="008E5DDD" w:rsidP="00645164">
      <w:pPr>
        <w:numPr>
          <w:ilvl w:val="0"/>
          <w:numId w:val="12"/>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Käyttöönottajat</w:t>
      </w:r>
      <w:r w:rsidRPr="003A0DD3">
        <w:rPr>
          <w:rFonts w:ascii="Arial" w:eastAsia="Aptos" w:hAnsi="Arial"/>
          <w:kern w:val="2"/>
          <w:sz w:val="24"/>
          <w:szCs w:val="24"/>
          <w14:ligatures w14:val="standardContextual"/>
        </w:rPr>
        <w:t xml:space="preserve"> (</w:t>
      </w:r>
      <w:proofErr w:type="spellStart"/>
      <w:r w:rsidRPr="003A0DD3">
        <w:rPr>
          <w:rFonts w:ascii="Arial" w:eastAsia="Aptos" w:hAnsi="Arial"/>
          <w:i/>
          <w:iCs/>
          <w:kern w:val="2"/>
          <w:sz w:val="24"/>
          <w:szCs w:val="24"/>
          <w14:ligatures w14:val="standardContextual"/>
        </w:rPr>
        <w:t>deployers</w:t>
      </w:r>
      <w:proofErr w:type="spellEnd"/>
      <w:r w:rsidRPr="003A0DD3">
        <w:rPr>
          <w:rFonts w:ascii="Arial" w:eastAsia="Aptos" w:hAnsi="Arial"/>
          <w:kern w:val="2"/>
          <w:sz w:val="24"/>
          <w:szCs w:val="24"/>
          <w14:ligatures w14:val="standardContextual"/>
        </w:rPr>
        <w:t xml:space="preserve">), eli ne tahot, jotka </w:t>
      </w:r>
      <w:r w:rsidRPr="003A0DD3">
        <w:rPr>
          <w:rFonts w:ascii="Arial" w:eastAsia="Aptos" w:hAnsi="Arial"/>
          <w:color w:val="000000"/>
          <w:kern w:val="2"/>
          <w:sz w:val="24"/>
          <w:szCs w:val="24"/>
          <w:shd w:val="clear" w:color="auto" w:fill="FFFFFF"/>
          <w14:ligatures w14:val="standardContextual"/>
        </w:rPr>
        <w:t>käyttävät valvonnassaan olevaa tekoälyjärjestelmää ammattitoiminnassa. Osa tekoälysäädöksen vaatimuksista koskee myös käyttöönottajia.</w:t>
      </w:r>
    </w:p>
    <w:p w14:paraId="23875F29" w14:textId="77777777" w:rsidR="008E5DDD" w:rsidRPr="003A0DD3" w:rsidRDefault="008E5DDD" w:rsidP="008E5DDD">
      <w:pPr>
        <w:rPr>
          <w:rFonts w:ascii="Arial" w:eastAsia="Aptos" w:hAnsi="Arial"/>
          <w:kern w:val="2"/>
          <w:sz w:val="24"/>
          <w:szCs w:val="24"/>
          <w14:ligatures w14:val="standardContextual"/>
        </w:rPr>
      </w:pPr>
    </w:p>
    <w:p w14:paraId="1B5A5A40"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Lisäksi säädös määrittelee muita toimitusketjuun kuuluvia rooleja (esim. jakelija, maahantuoja, valtuutettu edustaja). Jos epäilet, että sinulla on tekoälyn toimitusketjussa jokin muu kuin tarjoajan tai käyttöönottajan rooli, löydät tarkat määritelmät tekoälysäädöksen </w:t>
      </w:r>
      <w:hyperlink r:id="rId26" w:anchor="art_3" w:history="1">
        <w:r w:rsidRPr="003A0DD3">
          <w:rPr>
            <w:rFonts w:ascii="Arial" w:eastAsia="Aptos" w:hAnsi="Arial"/>
            <w:color w:val="467886"/>
            <w:kern w:val="2"/>
            <w:sz w:val="24"/>
            <w:szCs w:val="24"/>
            <w:u w:val="single"/>
            <w14:ligatures w14:val="standardContextual"/>
          </w:rPr>
          <w:t>artiklasta 3</w:t>
        </w:r>
      </w:hyperlink>
      <w:r w:rsidRPr="003A0DD3">
        <w:rPr>
          <w:rFonts w:ascii="Arial" w:eastAsia="Aptos" w:hAnsi="Arial"/>
          <w:kern w:val="2"/>
          <w:sz w:val="24"/>
          <w:szCs w:val="24"/>
          <w14:ligatures w14:val="standardContextual"/>
        </w:rPr>
        <w:t>.</w:t>
      </w:r>
    </w:p>
    <w:p w14:paraId="7444FF1F" w14:textId="77777777" w:rsidR="008E5DDD" w:rsidRPr="003A0DD3" w:rsidRDefault="008E5DDD" w:rsidP="008E5DDD">
      <w:pPr>
        <w:rPr>
          <w:rFonts w:ascii="Arial" w:eastAsia="Aptos" w:hAnsi="Arial"/>
          <w:kern w:val="2"/>
          <w:sz w:val="24"/>
          <w:szCs w:val="24"/>
          <w14:ligatures w14:val="standardContextual"/>
        </w:rPr>
      </w:pPr>
    </w:p>
    <w:p w14:paraId="15FC391B"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Mieti siis, onko työkalu sellainen, että se kulkee oman organisaatiosi nimellä tai brändillä, tai teetkö siihen merkittäviä muutoksia – joko itse työkaluun tai sen käyttötarkoitukseen. Jos, niin olet hyvin todennäköisesti järjestelmän tarjoaja. Jos taas käytät tai tuot työntekijöidesi </w:t>
      </w:r>
      <w:r w:rsidRPr="003A0DD3">
        <w:rPr>
          <w:rFonts w:ascii="Arial" w:eastAsia="Aptos" w:hAnsi="Arial"/>
          <w:kern w:val="2"/>
          <w:sz w:val="24"/>
          <w:szCs w:val="24"/>
          <w14:ligatures w14:val="standardContextual"/>
        </w:rPr>
        <w:lastRenderedPageBreak/>
        <w:t>käyttöön selkeästi valmiin tuotteen sen alkuperäisessä tarkoituksessa, olet hyvin todennäköisesti käyttöönottaja.</w:t>
      </w:r>
    </w:p>
    <w:p w14:paraId="08278991" w14:textId="77777777" w:rsidR="008E5DDD" w:rsidRPr="003A0DD3" w:rsidRDefault="008E5DDD" w:rsidP="008E5DDD">
      <w:pPr>
        <w:rPr>
          <w:rFonts w:ascii="Arial" w:eastAsia="Aptos" w:hAnsi="Arial"/>
          <w:kern w:val="2"/>
          <w:sz w:val="24"/>
          <w:szCs w:val="24"/>
          <w14:ligatures w14:val="standardContextual"/>
        </w:rPr>
      </w:pPr>
    </w:p>
    <w:p w14:paraId="6FD54176"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Kummassakin tapauksessa seuraava askel on varmistaa, että täytät rooliisi kuuluvat tekoälysäädöksen vaatimukset. Ne riippuvat järjestelmän riskiluokasta, jonka tunnistamiseen menemme seuraavaksi.</w:t>
      </w:r>
    </w:p>
    <w:p w14:paraId="633D3823" w14:textId="77777777" w:rsidR="008E5DDD" w:rsidRPr="003A0DD3" w:rsidRDefault="008E5DDD" w:rsidP="008E5DDD">
      <w:pPr>
        <w:pStyle w:val="Heading2"/>
      </w:pPr>
      <w:r w:rsidRPr="003A0DD3">
        <w:t xml:space="preserve">3. Tunnista tekoälysovelluksen riskiluokka </w:t>
      </w:r>
    </w:p>
    <w:p w14:paraId="3E9F82B0" w14:textId="77777777" w:rsidR="008E5DDD" w:rsidRPr="003A0DD3" w:rsidRDefault="008E5DDD" w:rsidP="008E5DDD">
      <w:pPr>
        <w:rPr>
          <w:rFonts w:ascii="Arial" w:eastAsia="Aptos" w:hAnsi="Arial"/>
          <w:kern w:val="2"/>
          <w:sz w:val="24"/>
          <w:szCs w:val="24"/>
          <w14:ligatures w14:val="standardContextual"/>
        </w:rPr>
      </w:pPr>
    </w:p>
    <w:p w14:paraId="086569F7"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Tekoälysäädös jakaa tekoälyjärjestelmät riskiluokkiin sen perusteella, millaisia riskejä ne aiheuttavat ihmisten terveydelle, turvallisuudelle ja perusoikeuksille.</w:t>
      </w:r>
    </w:p>
    <w:p w14:paraId="359EDBE8" w14:textId="77777777" w:rsidR="008E5DDD" w:rsidRPr="003A0DD3" w:rsidRDefault="008E5DDD" w:rsidP="008E5DDD">
      <w:pPr>
        <w:rPr>
          <w:rFonts w:ascii="Arial" w:eastAsia="Aptos" w:hAnsi="Arial"/>
          <w:kern w:val="2"/>
          <w:sz w:val="24"/>
          <w:szCs w:val="24"/>
          <w14:ligatures w14:val="standardContextual"/>
        </w:rPr>
      </w:pPr>
    </w:p>
    <w:p w14:paraId="2A672F72" w14:textId="77777777" w:rsidR="008E5DDD" w:rsidRPr="003A0DD3" w:rsidRDefault="008E5DDD" w:rsidP="00645164">
      <w:pPr>
        <w:numPr>
          <w:ilvl w:val="0"/>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Ei hyväksyttävissä oleva riski</w:t>
      </w:r>
      <w:r w:rsidRPr="003A0DD3">
        <w:rPr>
          <w:rFonts w:ascii="Arial" w:eastAsia="Aptos" w:hAnsi="Arial"/>
          <w:kern w:val="2"/>
          <w:sz w:val="24"/>
          <w:szCs w:val="24"/>
          <w14:ligatures w14:val="standardContextual"/>
        </w:rPr>
        <w:t xml:space="preserve">. Jos tekoäly aiheuttaa ihmisille uhkaa, jota ei voida pitää hyväksyttävänä, sen käyttö ja kehittäminen on kielletty. Tällaisia järjestelmiä ovat esimerkiksi </w:t>
      </w:r>
    </w:p>
    <w:p w14:paraId="5393EBEC"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yksilöiden tai heikossa asemassa olevien ihmisten ryhmiin kuuluvien manipuloiminen</w:t>
      </w:r>
    </w:p>
    <w:p w14:paraId="6CCEAFD2"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sosiaalinen pisteytys, joka jakaa ihmisiä ryhmiin käytöksen, sosioekonomisen aseman tai henkilökohtaisten ominaisuuksien perusteella</w:t>
      </w:r>
    </w:p>
    <w:p w14:paraId="503C0B7E"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ihmisten biometrinen tunnistaminen ja luokittelu</w:t>
      </w:r>
    </w:p>
    <w:p w14:paraId="2A91B286"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reaaliaikaista ja etäisyydeltä tapahtuvaa biometristä tunnistusta </w:t>
      </w:r>
      <w:proofErr w:type="spellStart"/>
      <w:r w:rsidRPr="003A0DD3">
        <w:rPr>
          <w:rFonts w:ascii="Arial" w:eastAsia="Aptos" w:hAnsi="Arial"/>
          <w:kern w:val="2"/>
          <w:sz w:val="24"/>
          <w:szCs w:val="24"/>
          <w14:ligatures w14:val="standardContextual"/>
        </w:rPr>
        <w:t>tekeävt</w:t>
      </w:r>
      <w:proofErr w:type="spellEnd"/>
      <w:r w:rsidRPr="003A0DD3">
        <w:rPr>
          <w:rFonts w:ascii="Arial" w:eastAsia="Aptos" w:hAnsi="Arial"/>
          <w:kern w:val="2"/>
          <w:sz w:val="24"/>
          <w:szCs w:val="24"/>
          <w14:ligatures w14:val="standardContextual"/>
        </w:rPr>
        <w:t xml:space="preserve"> järjestelmät (esim. kasvontunnistus)</w:t>
      </w:r>
    </w:p>
    <w:p w14:paraId="327A78AD" w14:textId="77777777" w:rsidR="008E5DDD" w:rsidRPr="003A0DD3" w:rsidRDefault="008E5DDD" w:rsidP="008E5DDD">
      <w:pPr>
        <w:ind w:left="720"/>
        <w:contextualSpacing/>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Tarkka lista kielletyistä tekoälyjärjestelmistä löytyy </w:t>
      </w:r>
      <w:hyperlink r:id="rId27" w:anchor="art_5" w:history="1">
        <w:r w:rsidRPr="003A0DD3">
          <w:rPr>
            <w:rFonts w:ascii="Arial" w:eastAsia="Aptos" w:hAnsi="Arial"/>
            <w:color w:val="467886"/>
            <w:kern w:val="2"/>
            <w:sz w:val="24"/>
            <w:szCs w:val="24"/>
            <w:u w:val="single"/>
            <w14:ligatures w14:val="standardContextual"/>
          </w:rPr>
          <w:t>artiklasta 5</w:t>
        </w:r>
      </w:hyperlink>
      <w:r w:rsidRPr="003A0DD3">
        <w:rPr>
          <w:rFonts w:ascii="Arial" w:eastAsia="Aptos" w:hAnsi="Arial"/>
          <w:kern w:val="2"/>
          <w:sz w:val="24"/>
          <w:szCs w:val="24"/>
          <w14:ligatures w14:val="standardContextual"/>
        </w:rPr>
        <w:t xml:space="preserve">. </w:t>
      </w:r>
    </w:p>
    <w:p w14:paraId="1F744EF4" w14:textId="77777777" w:rsidR="008E5DDD" w:rsidRPr="003A0DD3" w:rsidRDefault="008E5DDD" w:rsidP="008E5DDD">
      <w:pPr>
        <w:ind w:left="1440"/>
        <w:contextualSpacing/>
        <w:rPr>
          <w:rFonts w:ascii="Arial" w:eastAsia="Aptos" w:hAnsi="Arial"/>
          <w:kern w:val="2"/>
          <w:sz w:val="24"/>
          <w:szCs w:val="24"/>
          <w14:ligatures w14:val="standardContextual"/>
        </w:rPr>
      </w:pPr>
    </w:p>
    <w:p w14:paraId="4C05B2C4" w14:textId="77777777" w:rsidR="008E5DDD" w:rsidRPr="003A0DD3" w:rsidRDefault="008E5DDD" w:rsidP="00645164">
      <w:pPr>
        <w:numPr>
          <w:ilvl w:val="0"/>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Korkean riskin järjestelmät.</w:t>
      </w:r>
      <w:r w:rsidRPr="003A0DD3">
        <w:rPr>
          <w:rFonts w:ascii="Arial" w:eastAsia="Aptos" w:hAnsi="Arial"/>
          <w:kern w:val="2"/>
          <w:sz w:val="24"/>
          <w:szCs w:val="24"/>
          <w14:ligatures w14:val="standardContextual"/>
        </w:rPr>
        <w:t xml:space="preserve"> Tähän kategoriaan lasketaan sellaiset, jotka vaikuttavat negatiivisesti ihmisten turvallisuuteen ja perusoikeuksiin. Tällaisia ovat esimerkiksi</w:t>
      </w:r>
    </w:p>
    <w:p w14:paraId="11A7F806"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EU</w:t>
      </w:r>
      <w:r w:rsidRPr="003A0DD3">
        <w:rPr>
          <w:rFonts w:ascii="Arial" w:eastAsia="Aptos" w:hAnsi="Arial"/>
          <w:b/>
          <w:bCs/>
          <w:kern w:val="2"/>
          <w:sz w:val="24"/>
          <w:szCs w:val="24"/>
          <w14:ligatures w14:val="standardContextual"/>
        </w:rPr>
        <w:t>:</w:t>
      </w:r>
      <w:r w:rsidRPr="003A0DD3">
        <w:rPr>
          <w:rFonts w:ascii="Arial" w:eastAsia="Aptos" w:hAnsi="Arial"/>
          <w:kern w:val="2"/>
          <w:sz w:val="24"/>
          <w:szCs w:val="24"/>
          <w14:ligatures w14:val="standardContextual"/>
        </w:rPr>
        <w:t>n tuoteturvallisuusdirektiivin alle kuuluvat tuotteet (lelut, ilmailu, autot, lääkinnälliset laitteet, hissit)</w:t>
      </w:r>
    </w:p>
    <w:p w14:paraId="73E2CA74"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Kriittisen infrastruktuurin hallinta ja käsittely</w:t>
      </w:r>
    </w:p>
    <w:p w14:paraId="5E7DC0E5"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Yleissivistävä ja ammatillinen koulutus</w:t>
      </w:r>
    </w:p>
    <w:p w14:paraId="195DFBAB"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Työllistäminen, henkilöstöhallinto ja mahdollisuus itsenäiseen ammatinharjoittamiseen</w:t>
      </w:r>
    </w:p>
    <w:p w14:paraId="458C86DE"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Keskeisten yksityisten palvelujen, julkisten palvelujen ja etuusien saatavuus ja käyttö</w:t>
      </w:r>
    </w:p>
    <w:p w14:paraId="3B1ED1E2"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lainvalvonta</w:t>
      </w:r>
    </w:p>
    <w:p w14:paraId="28669FC6"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muuttoliikkeen hallinta, turvapaikka-asiat ja rajavalvonta</w:t>
      </w:r>
    </w:p>
    <w:p w14:paraId="040C2C26" w14:textId="77777777" w:rsidR="008E5DDD" w:rsidRPr="003A0DD3" w:rsidRDefault="008E5DDD" w:rsidP="00645164">
      <w:pPr>
        <w:numPr>
          <w:ilvl w:val="1"/>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oikeudenhoito ja demokraattiset prosessit</w:t>
      </w:r>
    </w:p>
    <w:p w14:paraId="620670A4" w14:textId="77777777" w:rsidR="008E5DDD" w:rsidRPr="003A0DD3" w:rsidRDefault="008E5DDD" w:rsidP="008E5DDD">
      <w:pPr>
        <w:ind w:left="720"/>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Tarkka kuvaus korkeariskisistä järjestelmistä löytyy </w:t>
      </w:r>
      <w:hyperlink r:id="rId28" w:anchor="cpt_III.sct_1" w:history="1">
        <w:r w:rsidRPr="003A0DD3">
          <w:rPr>
            <w:rFonts w:ascii="Arial" w:eastAsia="Aptos" w:hAnsi="Arial"/>
            <w:color w:val="467886"/>
            <w:kern w:val="2"/>
            <w:sz w:val="24"/>
            <w:szCs w:val="24"/>
            <w:u w:val="single"/>
            <w14:ligatures w14:val="standardContextual"/>
          </w:rPr>
          <w:t>luvun III jaksosta 1</w:t>
        </w:r>
      </w:hyperlink>
      <w:r w:rsidRPr="003A0DD3">
        <w:rPr>
          <w:rFonts w:ascii="Arial" w:eastAsia="Aptos" w:hAnsi="Arial"/>
          <w:kern w:val="2"/>
          <w:sz w:val="24"/>
          <w:szCs w:val="24"/>
          <w14:ligatures w14:val="standardContextual"/>
        </w:rPr>
        <w:t xml:space="preserve"> ja tekoälysäädöksen </w:t>
      </w:r>
      <w:hyperlink r:id="rId29" w:anchor="anx_III" w:history="1">
        <w:r w:rsidRPr="003A0DD3">
          <w:rPr>
            <w:rFonts w:ascii="Arial" w:eastAsia="Aptos" w:hAnsi="Arial"/>
            <w:color w:val="467886"/>
            <w:kern w:val="2"/>
            <w:sz w:val="24"/>
            <w:szCs w:val="24"/>
            <w:u w:val="single"/>
            <w14:ligatures w14:val="standardContextual"/>
          </w:rPr>
          <w:t>liitteestä III</w:t>
        </w:r>
      </w:hyperlink>
      <w:r w:rsidRPr="003A0DD3">
        <w:rPr>
          <w:rFonts w:ascii="Arial" w:eastAsia="Aptos" w:hAnsi="Arial"/>
          <w:kern w:val="2"/>
          <w:sz w:val="24"/>
          <w:szCs w:val="24"/>
          <w14:ligatures w14:val="standardContextual"/>
        </w:rPr>
        <w:t>, johon listatut järjestelmät ovat kaikki korkeariskisiä.</w:t>
      </w:r>
    </w:p>
    <w:p w14:paraId="2C1C1E51" w14:textId="77777777" w:rsidR="008E5DDD" w:rsidRPr="003A0DD3" w:rsidRDefault="008E5DDD" w:rsidP="008E5DDD">
      <w:pPr>
        <w:ind w:left="1440"/>
        <w:contextualSpacing/>
        <w:rPr>
          <w:rFonts w:ascii="Arial" w:eastAsia="Aptos" w:hAnsi="Arial"/>
          <w:kern w:val="2"/>
          <w:sz w:val="24"/>
          <w:szCs w:val="24"/>
          <w14:ligatures w14:val="standardContextual"/>
        </w:rPr>
      </w:pPr>
    </w:p>
    <w:p w14:paraId="4DC3E1FE" w14:textId="77777777" w:rsidR="008E5DDD" w:rsidRPr="003A0DD3" w:rsidRDefault="008E5DDD" w:rsidP="00645164">
      <w:pPr>
        <w:numPr>
          <w:ilvl w:val="0"/>
          <w:numId w:val="10"/>
        </w:numPr>
        <w:spacing w:after="0" w:line="240" w:lineRule="auto"/>
        <w:contextualSpacing/>
        <w:jc w:val="left"/>
        <w:rPr>
          <w:rFonts w:ascii="Arial" w:eastAsia="Aptos" w:hAnsi="Arial"/>
          <w:b/>
          <w:bCs/>
          <w:kern w:val="2"/>
          <w:sz w:val="24"/>
          <w:szCs w:val="24"/>
          <w14:ligatures w14:val="standardContextual"/>
        </w:rPr>
      </w:pPr>
      <w:r w:rsidRPr="003A0DD3">
        <w:rPr>
          <w:rFonts w:ascii="Arial" w:eastAsia="Aptos" w:hAnsi="Arial"/>
          <w:b/>
          <w:bCs/>
          <w:kern w:val="2"/>
          <w:sz w:val="24"/>
          <w:szCs w:val="24"/>
          <w14:ligatures w14:val="standardContextual"/>
        </w:rPr>
        <w:lastRenderedPageBreak/>
        <w:t xml:space="preserve">Järjestelmät, joihin kohdistuu avoimuusvaatimuksia. </w:t>
      </w:r>
      <w:r w:rsidRPr="003A0DD3">
        <w:rPr>
          <w:rFonts w:ascii="Arial" w:eastAsia="Aptos" w:hAnsi="Arial"/>
          <w:kern w:val="2"/>
          <w:sz w:val="24"/>
          <w:szCs w:val="24"/>
          <w14:ligatures w14:val="standardContextual"/>
        </w:rPr>
        <w:t xml:space="preserve">Näiden järjestelmien riskit on katsottu maltillisiksi, mutta kuitenkin sellaisiksi, että niiden läpinäkyvyyteen kohdistuu erityisiä vaatimuksia. Tällaisia järjestelmiä ovat generoivat tekoälyjärjestelmät, jotka imitoivat ihmisen tuottamaa sisältöä, kuten tekstiä, kuvia, videoita ja ääntä.  Näiden tarkempi kuvaus löytyy säädöksen </w:t>
      </w:r>
      <w:hyperlink r:id="rId30" w:anchor="art_50" w:history="1">
        <w:r w:rsidRPr="003A0DD3">
          <w:rPr>
            <w:rFonts w:ascii="Arial" w:eastAsia="Aptos" w:hAnsi="Arial"/>
            <w:color w:val="467886"/>
            <w:kern w:val="2"/>
            <w:sz w:val="24"/>
            <w:szCs w:val="24"/>
            <w:u w:val="single"/>
            <w14:ligatures w14:val="standardContextual"/>
          </w:rPr>
          <w:t>artiklasta 50</w:t>
        </w:r>
      </w:hyperlink>
      <w:r w:rsidRPr="003A0DD3">
        <w:rPr>
          <w:rFonts w:ascii="Arial" w:eastAsia="Aptos" w:hAnsi="Arial"/>
          <w:kern w:val="2"/>
          <w:sz w:val="24"/>
          <w:szCs w:val="24"/>
          <w14:ligatures w14:val="standardContextual"/>
        </w:rPr>
        <w:t xml:space="preserve">. </w:t>
      </w:r>
    </w:p>
    <w:p w14:paraId="6EC19B92" w14:textId="77777777" w:rsidR="008E5DDD" w:rsidRPr="003A0DD3" w:rsidRDefault="008E5DDD" w:rsidP="008E5DDD">
      <w:pPr>
        <w:ind w:left="720"/>
        <w:contextualSpacing/>
        <w:rPr>
          <w:rFonts w:ascii="Arial" w:eastAsia="Aptos" w:hAnsi="Arial"/>
          <w:b/>
          <w:bCs/>
          <w:kern w:val="2"/>
          <w:sz w:val="24"/>
          <w:szCs w:val="24"/>
          <w14:ligatures w14:val="standardContextual"/>
        </w:rPr>
      </w:pPr>
    </w:p>
    <w:p w14:paraId="147A2920" w14:textId="77777777" w:rsidR="008E5DDD" w:rsidRPr="003A0DD3" w:rsidRDefault="008E5DDD" w:rsidP="00645164">
      <w:pPr>
        <w:numPr>
          <w:ilvl w:val="0"/>
          <w:numId w:val="10"/>
        </w:numPr>
        <w:spacing w:after="0" w:line="240" w:lineRule="auto"/>
        <w:contextualSpacing/>
        <w:jc w:val="left"/>
        <w:rPr>
          <w:rFonts w:ascii="Arial" w:eastAsia="Aptos" w:hAnsi="Arial"/>
          <w:b/>
          <w:bCs/>
          <w:kern w:val="2"/>
          <w:sz w:val="24"/>
          <w:szCs w:val="24"/>
          <w14:ligatures w14:val="standardContextual"/>
        </w:rPr>
      </w:pPr>
      <w:r w:rsidRPr="003A0DD3">
        <w:rPr>
          <w:rFonts w:ascii="Arial" w:eastAsia="Aptos" w:hAnsi="Arial"/>
          <w:b/>
          <w:bCs/>
          <w:kern w:val="2"/>
          <w:sz w:val="24"/>
          <w:szCs w:val="24"/>
          <w14:ligatures w14:val="standardContextual"/>
        </w:rPr>
        <w:t>Yleiskäyttöiset tekoälymallit</w:t>
      </w:r>
      <w:r w:rsidRPr="003A0DD3">
        <w:rPr>
          <w:rFonts w:ascii="Arial" w:eastAsia="Aptos" w:hAnsi="Arial"/>
          <w:kern w:val="2"/>
          <w:sz w:val="24"/>
          <w:szCs w:val="24"/>
          <w14:ligatures w14:val="standardContextual"/>
        </w:rPr>
        <w:t xml:space="preserve">. Tekoälysäädös määrittelee lisäksi vaatimuksia yleiskäyttöisille tekoälymalleille. Nämä koskevat mallien tarjoajia. Vaatimukset löytyvät säädöksen </w:t>
      </w:r>
      <w:hyperlink r:id="rId31" w:anchor="cpt_V" w:history="1">
        <w:r w:rsidRPr="003A0DD3">
          <w:rPr>
            <w:rFonts w:ascii="Arial" w:eastAsia="Aptos" w:hAnsi="Arial"/>
            <w:color w:val="467886"/>
            <w:kern w:val="2"/>
            <w:sz w:val="24"/>
            <w:szCs w:val="24"/>
            <w:u w:val="single"/>
            <w14:ligatures w14:val="standardContextual"/>
          </w:rPr>
          <w:t>luvusta IV</w:t>
        </w:r>
      </w:hyperlink>
      <w:r w:rsidRPr="003A0DD3">
        <w:rPr>
          <w:rFonts w:ascii="Arial" w:eastAsia="Aptos" w:hAnsi="Arial"/>
          <w:kern w:val="2"/>
          <w:sz w:val="24"/>
          <w:szCs w:val="24"/>
          <w14:ligatures w14:val="standardContextual"/>
        </w:rPr>
        <w:t>.</w:t>
      </w:r>
    </w:p>
    <w:p w14:paraId="2D88787C" w14:textId="77777777" w:rsidR="008E5DDD" w:rsidRPr="003A0DD3" w:rsidRDefault="008E5DDD" w:rsidP="008E5DDD">
      <w:pPr>
        <w:ind w:left="720"/>
        <w:contextualSpacing/>
        <w:rPr>
          <w:rFonts w:ascii="Arial" w:eastAsia="Aptos" w:hAnsi="Arial"/>
          <w:b/>
          <w:bCs/>
          <w:kern w:val="2"/>
          <w:sz w:val="24"/>
          <w:szCs w:val="24"/>
          <w14:ligatures w14:val="standardContextual"/>
        </w:rPr>
      </w:pPr>
    </w:p>
    <w:p w14:paraId="6782E7F0" w14:textId="77777777" w:rsidR="008E5DDD" w:rsidRPr="003A0DD3" w:rsidRDefault="008E5DDD" w:rsidP="00645164">
      <w:pPr>
        <w:numPr>
          <w:ilvl w:val="0"/>
          <w:numId w:val="10"/>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Muut</w:t>
      </w:r>
      <w:r w:rsidRPr="003A0DD3">
        <w:rPr>
          <w:rFonts w:ascii="Arial" w:eastAsia="Aptos" w:hAnsi="Arial"/>
          <w:kern w:val="2"/>
          <w:sz w:val="24"/>
          <w:szCs w:val="24"/>
          <w14:ligatures w14:val="standardContextual"/>
        </w:rPr>
        <w:t>. Jos järjestelmä ei kuulu mihinkään tekoälysäädöksen kategorioista, siihen ei kohdistu tekoälysäädöksen osalta vaatimuksia. Huomaathan, että muut lainsäädännön vaatimukset (esim. GDPR) koskee kuitenkin tekoälyä siinä missä muitakin niiden piiriin kuuluvia tietojärjestelmiä. Muut tekoälyjärjestelmät eivät siis suinkaan ole täysin sääntelemättömiä, vaikka niille ei juuri tekoälysäädöksessä ole asetettu vaatimuksia.</w:t>
      </w:r>
    </w:p>
    <w:p w14:paraId="3819524B" w14:textId="77777777" w:rsidR="008E5DDD" w:rsidRPr="003A0DD3" w:rsidRDefault="008E5DDD" w:rsidP="008E5DDD">
      <w:pPr>
        <w:rPr>
          <w:rFonts w:ascii="Arial" w:eastAsia="Aptos" w:hAnsi="Arial"/>
          <w:kern w:val="2"/>
          <w:sz w:val="24"/>
          <w:szCs w:val="24"/>
          <w14:ligatures w14:val="standardContextual"/>
        </w:rPr>
      </w:pPr>
    </w:p>
    <w:p w14:paraId="3E76CFA1" w14:textId="77777777" w:rsidR="008E5DDD" w:rsidRPr="003A0DD3" w:rsidRDefault="008E5DDD" w:rsidP="008E5DDD">
      <w:pPr>
        <w:pStyle w:val="Heading2"/>
      </w:pPr>
      <w:r w:rsidRPr="003A0DD3">
        <w:t>4. Tunnista sinua koskevat vaatimukset</w:t>
      </w:r>
    </w:p>
    <w:p w14:paraId="6F082FCC" w14:textId="77777777" w:rsidR="008E5DDD" w:rsidRPr="003A0DD3" w:rsidRDefault="008E5DDD" w:rsidP="008E5DDD">
      <w:pPr>
        <w:rPr>
          <w:rFonts w:ascii="Arial" w:eastAsia="Aptos" w:hAnsi="Arial"/>
          <w:kern w:val="2"/>
          <w:sz w:val="24"/>
          <w:szCs w:val="24"/>
          <w14:ligatures w14:val="standardContextual"/>
        </w:rPr>
      </w:pPr>
    </w:p>
    <w:p w14:paraId="281E9CEC"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Nyt kun tiedät oman organisaatiosi roolin ja järjestelmäsi riskiluokan, voit katsoa sinua koskevat vaatimukset. Alla oleva taulukko tiivistää säädöksen keskeiset vaatimukset tarjoajille ja käyttöönottajille eri riskiluokkien mukaisesti. Huom. tarkista sinua koskevat vaatimukset tekoälysäädöksestä oman juristisi kanssa. Tämän taulukon tarkoituksena on antaa vaatimuksista yleiskatsaus, joten se ei sisällä kaikkia yksityiskohtia.</w:t>
      </w:r>
    </w:p>
    <w:p w14:paraId="3976CE4B" w14:textId="77777777" w:rsidR="008E5DDD" w:rsidRPr="003A0DD3" w:rsidRDefault="008E5DDD" w:rsidP="008E5DDD">
      <w:pPr>
        <w:rPr>
          <w:rFonts w:ascii="Arial" w:eastAsia="Aptos" w:hAnsi="Arial"/>
          <w:kern w:val="2"/>
          <w:sz w:val="24"/>
          <w:szCs w:val="24"/>
          <w14:ligatures w14:val="standardContextual"/>
        </w:rPr>
      </w:pPr>
    </w:p>
    <w:p w14:paraId="1DD4F4CE"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Monet vaatimuksista ovat normaaleja järjestelmäkehityksen hyviä käytänteitä, joihin on kuitenkin tekoälyn kanssa kiinnitettävä erityistä huomiota.</w:t>
      </w:r>
    </w:p>
    <w:p w14:paraId="0DC04959" w14:textId="77777777" w:rsidR="008E5DDD" w:rsidRPr="003A0DD3" w:rsidRDefault="008E5DDD" w:rsidP="008E5DDD">
      <w:pPr>
        <w:rPr>
          <w:rFonts w:ascii="Arial" w:eastAsia="Aptos" w:hAnsi="Arial"/>
          <w:kern w:val="2"/>
          <w:sz w:val="24"/>
          <w:szCs w:val="24"/>
          <w14:ligatures w14:val="standardContextual"/>
        </w:rPr>
      </w:pPr>
    </w:p>
    <w:tbl>
      <w:tblPr>
        <w:tblStyle w:val="TableGrid1"/>
        <w:tblW w:w="9634" w:type="dxa"/>
        <w:tblLayout w:type="fixed"/>
        <w:tblLook w:val="04A0" w:firstRow="1" w:lastRow="0" w:firstColumn="1" w:lastColumn="0" w:noHBand="0" w:noVBand="1"/>
      </w:tblPr>
      <w:tblGrid>
        <w:gridCol w:w="1980"/>
        <w:gridCol w:w="3969"/>
        <w:gridCol w:w="3685"/>
      </w:tblGrid>
      <w:tr w:rsidR="008E5DDD" w:rsidRPr="003A0DD3" w14:paraId="35B085BC" w14:textId="77777777" w:rsidTr="003A0DD3">
        <w:tc>
          <w:tcPr>
            <w:tcW w:w="1980" w:type="dxa"/>
          </w:tcPr>
          <w:p w14:paraId="24CA8BE3"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Riskiluokka</w:t>
            </w:r>
          </w:p>
        </w:tc>
        <w:tc>
          <w:tcPr>
            <w:tcW w:w="3969" w:type="dxa"/>
          </w:tcPr>
          <w:p w14:paraId="096551EB"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Tarjoaja</w:t>
            </w:r>
          </w:p>
        </w:tc>
        <w:tc>
          <w:tcPr>
            <w:tcW w:w="3685" w:type="dxa"/>
          </w:tcPr>
          <w:p w14:paraId="0F045EAB"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Käyttöönottaja</w:t>
            </w:r>
          </w:p>
        </w:tc>
      </w:tr>
      <w:tr w:rsidR="008E5DDD" w:rsidRPr="003A0DD3" w14:paraId="7ABD3A7D" w14:textId="77777777" w:rsidTr="003A0DD3">
        <w:tc>
          <w:tcPr>
            <w:tcW w:w="1980" w:type="dxa"/>
          </w:tcPr>
          <w:p w14:paraId="50075F4D"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Kielletty</w:t>
            </w:r>
          </w:p>
          <w:p w14:paraId="45DFFD4A"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w:t>
            </w:r>
            <w:hyperlink r:id="rId32" w:anchor="cpt_II" w:history="1">
              <w:r w:rsidRPr="003A0DD3">
                <w:rPr>
                  <w:rFonts w:ascii="Arial" w:eastAsia="Aptos" w:hAnsi="Arial"/>
                  <w:color w:val="467886"/>
                  <w:kern w:val="2"/>
                  <w:sz w:val="20"/>
                  <w:szCs w:val="20"/>
                  <w:u w:val="single"/>
                  <w:lang w:val="fi-FI"/>
                  <w14:ligatures w14:val="standardContextual"/>
                </w:rPr>
                <w:t>Luku II</w:t>
              </w:r>
            </w:hyperlink>
            <w:r w:rsidRPr="003A0DD3">
              <w:rPr>
                <w:rFonts w:ascii="Arial" w:eastAsia="Aptos" w:hAnsi="Arial"/>
                <w:kern w:val="2"/>
                <w:sz w:val="20"/>
                <w:szCs w:val="20"/>
                <w:lang w:val="fi-FI"/>
                <w14:ligatures w14:val="standardContextual"/>
              </w:rPr>
              <w:t>)</w:t>
            </w:r>
          </w:p>
        </w:tc>
        <w:tc>
          <w:tcPr>
            <w:tcW w:w="3969" w:type="dxa"/>
          </w:tcPr>
          <w:p w14:paraId="3D04E470"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Ei saa valmistaa</w:t>
            </w:r>
          </w:p>
        </w:tc>
        <w:tc>
          <w:tcPr>
            <w:tcW w:w="3685" w:type="dxa"/>
          </w:tcPr>
          <w:p w14:paraId="7FBC6D62"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Ei saa ottaa käyttöön</w:t>
            </w:r>
          </w:p>
        </w:tc>
      </w:tr>
      <w:tr w:rsidR="008E5DDD" w:rsidRPr="003A0DD3" w14:paraId="46CE5F04" w14:textId="77777777" w:rsidTr="003A0DD3">
        <w:tc>
          <w:tcPr>
            <w:tcW w:w="1980" w:type="dxa"/>
          </w:tcPr>
          <w:p w14:paraId="4879D135"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Korkeariskinen</w:t>
            </w:r>
          </w:p>
          <w:p w14:paraId="045BCB94"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w:t>
            </w:r>
            <w:hyperlink r:id="rId33" w:anchor="cpt_III.sct_3" w:history="1">
              <w:r w:rsidRPr="003A0DD3">
                <w:rPr>
                  <w:rFonts w:ascii="Arial" w:eastAsia="Aptos" w:hAnsi="Arial"/>
                  <w:b/>
                  <w:bCs/>
                  <w:color w:val="467886"/>
                  <w:kern w:val="2"/>
                  <w:sz w:val="20"/>
                  <w:szCs w:val="20"/>
                  <w:u w:val="single"/>
                  <w:lang w:val="fi-FI"/>
                  <w14:ligatures w14:val="standardContextual"/>
                </w:rPr>
                <w:t>Luku III, jakso 3</w:t>
              </w:r>
            </w:hyperlink>
            <w:r w:rsidRPr="003A0DD3">
              <w:rPr>
                <w:rFonts w:ascii="Arial" w:eastAsia="Aptos" w:hAnsi="Arial"/>
                <w:b/>
                <w:bCs/>
                <w:kern w:val="2"/>
                <w:sz w:val="20"/>
                <w:szCs w:val="20"/>
                <w:lang w:val="fi-FI"/>
                <w14:ligatures w14:val="standardContextual"/>
              </w:rPr>
              <w:t>)</w:t>
            </w:r>
          </w:p>
        </w:tc>
        <w:tc>
          <w:tcPr>
            <w:tcW w:w="3969" w:type="dxa"/>
          </w:tcPr>
          <w:p w14:paraId="509DA0C4"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Riskienhallinta-järjestelmä, joka kattaa koko tekoälyn elinkaaren </w:t>
            </w:r>
          </w:p>
          <w:p w14:paraId="4A2D5B4A"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Datanhallinta-järjestelmä, joka huolehtii datan olennaisuudesta ja edustavuudesta sekä virheiden ehkäisystä</w:t>
            </w:r>
          </w:p>
          <w:p w14:paraId="491408CA"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Laadunhallintajärjestelmä lainmukaisuuden varmistamiseksi </w:t>
            </w:r>
          </w:p>
          <w:p w14:paraId="20A1FE3C"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Riittävä tekninen dokumentaatio </w:t>
            </w:r>
          </w:p>
          <w:p w14:paraId="01A2F6E7"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Automaattisesti tuotetut lokitiedot</w:t>
            </w:r>
          </w:p>
          <w:p w14:paraId="63E6AABF"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lastRenderedPageBreak/>
              <w:t>Käyttöohjeet käyttöönottajille</w:t>
            </w:r>
          </w:p>
          <w:p w14:paraId="23314F62"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Korjaavat toimenpiteet ja ilmoitusvelvollisuus, kun puutteita havaitaan </w:t>
            </w:r>
          </w:p>
          <w:p w14:paraId="35BF3A6B"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Vaatimustenmukaisuuden arviointimenettely ennen markkinoille saattamista tai käyttöönottoa </w:t>
            </w:r>
          </w:p>
          <w:p w14:paraId="0430F038"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CE-merkintä </w:t>
            </w:r>
          </w:p>
        </w:tc>
        <w:tc>
          <w:tcPr>
            <w:tcW w:w="3685" w:type="dxa"/>
          </w:tcPr>
          <w:p w14:paraId="647C438C"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lastRenderedPageBreak/>
              <w:t>Huolehdittava ihmisten valvonnasta (</w:t>
            </w:r>
            <w:proofErr w:type="spellStart"/>
            <w:r w:rsidRPr="003A0DD3">
              <w:rPr>
                <w:rFonts w:ascii="Arial" w:eastAsia="Aptos" w:hAnsi="Arial"/>
                <w:i/>
                <w:iCs/>
                <w:kern w:val="2"/>
                <w:sz w:val="20"/>
                <w:szCs w:val="20"/>
                <w:lang w:val="fi-FI"/>
                <w14:ligatures w14:val="standardContextual"/>
              </w:rPr>
              <w:t>human</w:t>
            </w:r>
            <w:proofErr w:type="spellEnd"/>
            <w:r w:rsidRPr="003A0DD3">
              <w:rPr>
                <w:rFonts w:ascii="Arial" w:eastAsia="Aptos" w:hAnsi="Arial"/>
                <w:i/>
                <w:iCs/>
                <w:kern w:val="2"/>
                <w:sz w:val="20"/>
                <w:szCs w:val="20"/>
                <w:lang w:val="fi-FI"/>
                <w14:ligatures w14:val="standardContextual"/>
              </w:rPr>
              <w:t xml:space="preserve"> </w:t>
            </w:r>
            <w:proofErr w:type="spellStart"/>
            <w:r w:rsidRPr="003A0DD3">
              <w:rPr>
                <w:rFonts w:ascii="Arial" w:eastAsia="Aptos" w:hAnsi="Arial"/>
                <w:i/>
                <w:iCs/>
                <w:kern w:val="2"/>
                <w:sz w:val="20"/>
                <w:szCs w:val="20"/>
                <w:lang w:val="fi-FI"/>
                <w14:ligatures w14:val="standardContextual"/>
              </w:rPr>
              <w:t>ovesight</w:t>
            </w:r>
            <w:proofErr w:type="spellEnd"/>
            <w:r w:rsidRPr="003A0DD3">
              <w:rPr>
                <w:rFonts w:ascii="Arial" w:eastAsia="Aptos" w:hAnsi="Arial"/>
                <w:kern w:val="2"/>
                <w:sz w:val="20"/>
                <w:szCs w:val="20"/>
                <w:lang w:val="fi-FI"/>
                <w14:ligatures w14:val="standardContextual"/>
              </w:rPr>
              <w:t xml:space="preserve">) </w:t>
            </w:r>
          </w:p>
          <w:p w14:paraId="0E383C56"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Huolehdittava syötettävän datan edustavuudesta (vinoumien välttäminen)</w:t>
            </w:r>
          </w:p>
          <w:p w14:paraId="1E6F66FE"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Noudatettava tarjoajan antamia käyttöohjeita</w:t>
            </w:r>
          </w:p>
          <w:p w14:paraId="32CED725"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Automaattiset lokitiedot</w:t>
            </w:r>
          </w:p>
          <w:p w14:paraId="44207B1C"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Ilmoittaminen korkeariskisen tekoälyn käytöstä käytön kohteille, </w:t>
            </w:r>
            <w:r w:rsidRPr="003A0DD3">
              <w:rPr>
                <w:rFonts w:ascii="Arial" w:eastAsia="Aptos" w:hAnsi="Arial"/>
                <w:kern w:val="2"/>
                <w:sz w:val="20"/>
                <w:szCs w:val="20"/>
                <w:lang w:val="fi-FI"/>
                <w14:ligatures w14:val="standardContextual"/>
              </w:rPr>
              <w:lastRenderedPageBreak/>
              <w:t>jos käyttöönottaja on työnantaja ja käytön kohteet ovat työntekijöitä</w:t>
            </w:r>
          </w:p>
          <w:p w14:paraId="2D1FC4C1"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Julkisen sektorin toimijoiden on rekisteröitävä järjestelmä tekoälyrekisteriin</w:t>
            </w:r>
          </w:p>
          <w:p w14:paraId="36CBE2F3"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Perusoikeusvaikutusten arviointi, jos käyttöönottaja on julkinen organisaatio tai tarjoaa julkisia palveluita</w:t>
            </w:r>
          </w:p>
        </w:tc>
      </w:tr>
      <w:tr w:rsidR="008E5DDD" w:rsidRPr="003A0DD3" w14:paraId="5C6C4DC5" w14:textId="77777777" w:rsidTr="003A0DD3">
        <w:tc>
          <w:tcPr>
            <w:tcW w:w="1980" w:type="dxa"/>
          </w:tcPr>
          <w:p w14:paraId="761FF504"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Läpinäkyvyysvaatimusten alainen</w:t>
            </w:r>
          </w:p>
          <w:p w14:paraId="43078F1E"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w:t>
            </w:r>
            <w:hyperlink r:id="rId34" w:anchor="cpt_IV" w:history="1">
              <w:r w:rsidRPr="003A0DD3">
                <w:rPr>
                  <w:rFonts w:ascii="Arial" w:eastAsia="Aptos" w:hAnsi="Arial"/>
                  <w:color w:val="467886"/>
                  <w:kern w:val="2"/>
                  <w:sz w:val="20"/>
                  <w:szCs w:val="20"/>
                  <w:u w:val="single"/>
                  <w:lang w:val="fi-FI"/>
                  <w14:ligatures w14:val="standardContextual"/>
                </w:rPr>
                <w:t>Luku IV</w:t>
              </w:r>
            </w:hyperlink>
            <w:r w:rsidRPr="003A0DD3">
              <w:rPr>
                <w:rFonts w:ascii="Arial" w:eastAsia="Aptos" w:hAnsi="Arial"/>
                <w:kern w:val="2"/>
                <w:sz w:val="20"/>
                <w:szCs w:val="20"/>
                <w:lang w:val="fi-FI"/>
                <w14:ligatures w14:val="standardContextual"/>
              </w:rPr>
              <w:t>)</w:t>
            </w:r>
          </w:p>
        </w:tc>
        <w:tc>
          <w:tcPr>
            <w:tcW w:w="3969" w:type="dxa"/>
          </w:tcPr>
          <w:p w14:paraId="140A44B2"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Käyttäjille ilmoitettava, että he ovat tekemisissä tekoälyn kanssa (tämä huomioitava tekoälyjärjestelmän designissa)</w:t>
            </w:r>
          </w:p>
          <w:p w14:paraId="68FA2F7D"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Tekoälyn tuotokset ja muokkaukset merkittävä koneellisesti luettavassa muodossa, jotta ne voidaan tunnistaa koneen tuottamiksi</w:t>
            </w:r>
          </w:p>
        </w:tc>
        <w:tc>
          <w:tcPr>
            <w:tcW w:w="3685" w:type="dxa"/>
          </w:tcPr>
          <w:p w14:paraId="60FCAB8B"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color w:val="000000"/>
                <w:kern w:val="2"/>
                <w:sz w:val="20"/>
                <w:szCs w:val="20"/>
                <w:shd w:val="clear" w:color="auto" w:fill="FFFFFF"/>
                <w:lang w:val="fi-FI"/>
                <w14:ligatures w14:val="standardContextual"/>
              </w:rPr>
              <w:t>Tunteentunnistus-järjestelmän tai biometrisen luokitusjärjestelmän käyttöönottajien on ilmoitettava järjestelmän toiminnasta niille luonnollisille henkilöille, jotka altistuvat järjestelmälle</w:t>
            </w:r>
          </w:p>
          <w:p w14:paraId="584DEB3B"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color w:val="000000"/>
                <w:kern w:val="2"/>
                <w:sz w:val="20"/>
                <w:szCs w:val="20"/>
                <w:shd w:val="clear" w:color="auto" w:fill="FFFFFF"/>
                <w:lang w:val="fi-FI"/>
                <w14:ligatures w14:val="standardContextual"/>
              </w:rPr>
              <w:t>Kuva-, ääni- tai videosisältöä tuottavien tai manipuloivien tekoälyjärjestelmien sisältö on merkittävä tekoälyllä tuotetuksi/muokatuksi</w:t>
            </w:r>
          </w:p>
          <w:p w14:paraId="40461A50"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color w:val="000000"/>
                <w:kern w:val="2"/>
                <w:sz w:val="20"/>
                <w:szCs w:val="20"/>
                <w:shd w:val="clear" w:color="auto" w:fill="FFFFFF"/>
                <w:lang w:val="fi-FI"/>
                <w14:ligatures w14:val="standardContextual"/>
              </w:rPr>
              <w:t xml:space="preserve">Tekoälyteksti on merkittävä tekoälyn tuottamaksi, jos tekstin tarkoitus on tiedottaa yleisölle yleistä etua koskevista </w:t>
            </w:r>
            <w:proofErr w:type="spellStart"/>
            <w:r w:rsidRPr="003A0DD3">
              <w:rPr>
                <w:rFonts w:ascii="Arial" w:eastAsia="Aptos" w:hAnsi="Arial"/>
                <w:color w:val="000000"/>
                <w:kern w:val="2"/>
                <w:sz w:val="20"/>
                <w:szCs w:val="20"/>
                <w:shd w:val="clear" w:color="auto" w:fill="FFFFFF"/>
                <w:lang w:val="fi-FI"/>
                <w14:ligatures w14:val="standardContextual"/>
              </w:rPr>
              <w:t>asoista</w:t>
            </w:r>
            <w:proofErr w:type="spellEnd"/>
            <w:r w:rsidRPr="003A0DD3">
              <w:rPr>
                <w:rFonts w:ascii="Arial" w:eastAsia="Aptos" w:hAnsi="Arial"/>
                <w:color w:val="000000"/>
                <w:kern w:val="2"/>
                <w:sz w:val="20"/>
                <w:szCs w:val="20"/>
                <w:shd w:val="clear" w:color="auto" w:fill="FFFFFF"/>
                <w:lang w:val="fi-FI"/>
                <w14:ligatures w14:val="standardContextual"/>
              </w:rPr>
              <w:t>.</w:t>
            </w:r>
          </w:p>
        </w:tc>
      </w:tr>
      <w:tr w:rsidR="008E5DDD" w:rsidRPr="003A0DD3" w14:paraId="3D85B338" w14:textId="77777777" w:rsidTr="003A0DD3">
        <w:tc>
          <w:tcPr>
            <w:tcW w:w="1980" w:type="dxa"/>
          </w:tcPr>
          <w:p w14:paraId="41F06F2F" w14:textId="77777777" w:rsidR="008E5DDD" w:rsidRPr="003A0DD3" w:rsidRDefault="008E5DDD" w:rsidP="008E5DDD">
            <w:pPr>
              <w:rPr>
                <w:rFonts w:ascii="Arial" w:eastAsia="Aptos" w:hAnsi="Arial"/>
                <w:b/>
                <w:bCs/>
                <w:kern w:val="2"/>
                <w:sz w:val="20"/>
                <w:szCs w:val="20"/>
                <w:lang w:val="fi-FI"/>
                <w14:ligatures w14:val="standardContextual"/>
              </w:rPr>
            </w:pPr>
            <w:r w:rsidRPr="003A0DD3">
              <w:rPr>
                <w:rFonts w:ascii="Arial" w:eastAsia="Aptos" w:hAnsi="Arial"/>
                <w:b/>
                <w:bCs/>
                <w:kern w:val="2"/>
                <w:sz w:val="20"/>
                <w:szCs w:val="20"/>
                <w:lang w:val="fi-FI"/>
                <w14:ligatures w14:val="standardContextual"/>
              </w:rPr>
              <w:t>Yleiskäyttöiset tekoälymallit</w:t>
            </w:r>
          </w:p>
          <w:p w14:paraId="3FE63823"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w:t>
            </w:r>
            <w:hyperlink r:id="rId35" w:anchor="art_53" w:history="1">
              <w:r w:rsidRPr="003A0DD3">
                <w:rPr>
                  <w:rFonts w:ascii="Arial" w:eastAsia="Aptos" w:hAnsi="Arial"/>
                  <w:color w:val="467886"/>
                  <w:kern w:val="2"/>
                  <w:sz w:val="20"/>
                  <w:szCs w:val="20"/>
                  <w:u w:val="single"/>
                  <w:lang w:val="fi-FI"/>
                  <w14:ligatures w14:val="standardContextual"/>
                </w:rPr>
                <w:t>Artikla 53–55</w:t>
              </w:r>
            </w:hyperlink>
            <w:r w:rsidRPr="003A0DD3">
              <w:rPr>
                <w:rFonts w:ascii="Arial" w:eastAsia="Aptos" w:hAnsi="Arial"/>
                <w:kern w:val="2"/>
                <w:sz w:val="20"/>
                <w:szCs w:val="20"/>
                <w:lang w:val="fi-FI"/>
                <w14:ligatures w14:val="standardContextual"/>
              </w:rPr>
              <w:t>)</w:t>
            </w:r>
          </w:p>
        </w:tc>
        <w:tc>
          <w:tcPr>
            <w:tcW w:w="3969" w:type="dxa"/>
          </w:tcPr>
          <w:p w14:paraId="7E047D4A"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Riittävä ja ajantasainen tekninen dokumentaatio, joka on tarjolla mallien soveltajille: annettava tekoälyjärjestelmien tarjoajille </w:t>
            </w:r>
            <w:r w:rsidRPr="003A0DD3">
              <w:rPr>
                <w:rFonts w:ascii="Arial" w:eastAsia="Aptos" w:hAnsi="Arial"/>
                <w:color w:val="000000"/>
                <w:kern w:val="2"/>
                <w:sz w:val="20"/>
                <w:szCs w:val="20"/>
                <w:shd w:val="clear" w:color="auto" w:fill="FFFFFF"/>
                <w:lang w:val="fi-FI"/>
                <w14:ligatures w14:val="standardContextual"/>
              </w:rPr>
              <w:t>hyvä käsitys yleiskäyttöisen tekoälymallin valmiuksista ja rajoituksista ja autettava niitä noudattamaan tekoälyasetuksen velvoitteita</w:t>
            </w:r>
          </w:p>
          <w:p w14:paraId="0D477347"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color w:val="000000"/>
                <w:kern w:val="2"/>
                <w:sz w:val="20"/>
                <w:szCs w:val="20"/>
                <w:lang w:val="fi-FI"/>
                <w14:ligatures w14:val="standardContextual"/>
              </w:rPr>
              <w:t>laadittava ja asetettava julkisesti saataville tiivistelmä yleiskäyttöisen tekoälymallin koulutuksessa käytetystä sisällöstä tekoälytoimiston toimittaman mallin mukaisesti</w:t>
            </w:r>
          </w:p>
          <w:p w14:paraId="091E13C8" w14:textId="77777777" w:rsidR="008E5DDD" w:rsidRPr="003A0DD3" w:rsidRDefault="008E5DDD" w:rsidP="008E5DDD">
            <w:pPr>
              <w:rPr>
                <w:rFonts w:ascii="Arial" w:eastAsia="Aptos" w:hAnsi="Arial"/>
                <w:kern w:val="2"/>
                <w:sz w:val="20"/>
                <w:szCs w:val="20"/>
                <w:lang w:val="fi-FI"/>
                <w14:ligatures w14:val="standardContextual"/>
              </w:rPr>
            </w:pPr>
          </w:p>
          <w:p w14:paraId="61E9A0D8" w14:textId="77777777" w:rsidR="008E5DDD" w:rsidRPr="003A0DD3" w:rsidRDefault="008E5DDD" w:rsidP="008E5DDD">
            <w:pPr>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 xml:space="preserve">Lisäksi systeemisen riskin omaavien yleiskäyttöisten mallien tarjoajien on </w:t>
            </w:r>
          </w:p>
          <w:p w14:paraId="5ACC595B"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suoritettava standardienmukainen riskiarviointi</w:t>
            </w:r>
          </w:p>
          <w:p w14:paraId="6C8CDE8F"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arvioitava ja lievennettävä systeemisiä riskejä</w:t>
            </w:r>
          </w:p>
          <w:p w14:paraId="7343005E"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seurattava, dokumentoitava viranomaisille vakavat vaaratilanteet ja niihin tehdyt toimenpiteet</w:t>
            </w:r>
          </w:p>
          <w:p w14:paraId="6C72100E" w14:textId="77777777" w:rsidR="008E5DDD" w:rsidRPr="003A0DD3" w:rsidRDefault="008E5DDD" w:rsidP="00645164">
            <w:pPr>
              <w:numPr>
                <w:ilvl w:val="0"/>
                <w:numId w:val="16"/>
              </w:numPr>
              <w:spacing w:after="0" w:line="240" w:lineRule="auto"/>
              <w:contextualSpacing/>
              <w:jc w:val="left"/>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varmistettava kyberturvallisuus mallille ja sen fyysiselle infrastruktuurille</w:t>
            </w:r>
          </w:p>
        </w:tc>
        <w:tc>
          <w:tcPr>
            <w:tcW w:w="3685" w:type="dxa"/>
          </w:tcPr>
          <w:p w14:paraId="6EDED74E" w14:textId="77777777" w:rsidR="008E5DDD" w:rsidRPr="003A0DD3" w:rsidRDefault="008E5DDD" w:rsidP="008E5DDD">
            <w:pPr>
              <w:ind w:left="360"/>
              <w:rPr>
                <w:rFonts w:ascii="Arial" w:eastAsia="Aptos" w:hAnsi="Arial"/>
                <w:kern w:val="2"/>
                <w:sz w:val="20"/>
                <w:szCs w:val="20"/>
                <w:lang w:val="fi-FI"/>
                <w14:ligatures w14:val="standardContextual"/>
              </w:rPr>
            </w:pPr>
          </w:p>
          <w:p w14:paraId="75F6ACAA" w14:textId="77777777" w:rsidR="008E5DDD" w:rsidRPr="003A0DD3" w:rsidRDefault="008E5DDD" w:rsidP="008E5DDD">
            <w:pPr>
              <w:ind w:left="360"/>
              <w:rPr>
                <w:rFonts w:ascii="Arial" w:eastAsia="Aptos" w:hAnsi="Arial"/>
                <w:kern w:val="2"/>
                <w:sz w:val="20"/>
                <w:szCs w:val="20"/>
                <w:lang w:val="fi-FI"/>
                <w14:ligatures w14:val="standardContextual"/>
              </w:rPr>
            </w:pPr>
          </w:p>
          <w:p w14:paraId="134AF42A" w14:textId="77777777" w:rsidR="008E5DDD" w:rsidRPr="003A0DD3" w:rsidRDefault="008E5DDD" w:rsidP="008E5DDD">
            <w:pPr>
              <w:ind w:left="360"/>
              <w:rPr>
                <w:rFonts w:ascii="Arial" w:eastAsia="Aptos" w:hAnsi="Arial"/>
                <w:kern w:val="2"/>
                <w:sz w:val="20"/>
                <w:szCs w:val="20"/>
                <w:lang w:val="fi-FI"/>
                <w14:ligatures w14:val="standardContextual"/>
              </w:rPr>
            </w:pPr>
            <w:r w:rsidRPr="003A0DD3">
              <w:rPr>
                <w:rFonts w:ascii="Arial" w:eastAsia="Aptos" w:hAnsi="Arial"/>
                <w:kern w:val="2"/>
                <w:sz w:val="20"/>
                <w:szCs w:val="20"/>
                <w:lang w:val="fi-FI"/>
                <w14:ligatures w14:val="standardContextual"/>
              </w:rPr>
              <w:t>Ei vaatimuksia</w:t>
            </w:r>
          </w:p>
        </w:tc>
      </w:tr>
    </w:tbl>
    <w:p w14:paraId="4D393B84" w14:textId="77777777" w:rsidR="008E5DDD" w:rsidRPr="003A0DD3" w:rsidRDefault="008E5DDD" w:rsidP="008E5DDD">
      <w:pPr>
        <w:rPr>
          <w:rFonts w:ascii="Arial" w:eastAsia="Aptos" w:hAnsi="Arial"/>
          <w:kern w:val="2"/>
          <w:sz w:val="24"/>
          <w:szCs w:val="24"/>
          <w14:ligatures w14:val="standardContextual"/>
        </w:rPr>
      </w:pPr>
    </w:p>
    <w:p w14:paraId="27AD1E6E" w14:textId="77777777" w:rsidR="008E5DDD" w:rsidRPr="003A0DD3" w:rsidRDefault="008E5DDD" w:rsidP="003A0DD3">
      <w:pPr>
        <w:pStyle w:val="Heading2"/>
      </w:pPr>
      <w:r w:rsidRPr="003A0DD3">
        <w:lastRenderedPageBreak/>
        <w:t>Säädökseen valmistautuminen vaatii siis toimia. Miten niitä kannattaa priorisoida?</w:t>
      </w:r>
    </w:p>
    <w:p w14:paraId="377535E2" w14:textId="77777777" w:rsidR="008E5DDD" w:rsidRPr="003A0DD3" w:rsidRDefault="008E5DDD" w:rsidP="008E5DDD">
      <w:pPr>
        <w:rPr>
          <w:rFonts w:ascii="Arial" w:eastAsia="Aptos" w:hAnsi="Arial"/>
          <w:kern w:val="2"/>
          <w:sz w:val="24"/>
          <w:szCs w:val="24"/>
          <w14:ligatures w14:val="standardContextual"/>
        </w:rPr>
      </w:pPr>
    </w:p>
    <w:p w14:paraId="053F2C79" w14:textId="053F5862"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Tekoälysäädös tulee voimaan vaiheittain, joten kaikkea ei tarvitse tehdä kerralla. Tekeminen kannattaa aloittaa tunnistamalla, missä ovat oman organisaation vahvuusalueet ja missä kehittämistä tarvitaan vielä nykyistä enemmän. Tätä varten voit käyttää esimerkiksi tästä oppaasta löytyvää maturiteettimallia.</w:t>
      </w:r>
    </w:p>
    <w:p w14:paraId="6399CE95"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Keskeisimmät vaatimukset astuvat voimaan tässä seuraavalla aikataululla:</w:t>
      </w:r>
    </w:p>
    <w:p w14:paraId="1E9725EA" w14:textId="77777777" w:rsidR="008E5DDD" w:rsidRPr="003A0DD3" w:rsidRDefault="008E5DDD" w:rsidP="00645164">
      <w:pPr>
        <w:numPr>
          <w:ilvl w:val="0"/>
          <w:numId w:val="15"/>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Helmikuu 2025</w:t>
      </w:r>
      <w:r w:rsidRPr="003A0DD3">
        <w:rPr>
          <w:rFonts w:ascii="Arial" w:eastAsia="Aptos" w:hAnsi="Arial"/>
          <w:kern w:val="2"/>
          <w:sz w:val="24"/>
          <w:szCs w:val="24"/>
          <w14:ligatures w14:val="standardContextual"/>
        </w:rPr>
        <w:t>: Kiellettyjen järjestelmien kielto ja tekoälylukutaidon vaatimus</w:t>
      </w:r>
    </w:p>
    <w:p w14:paraId="2796382F" w14:textId="77777777" w:rsidR="008E5DDD" w:rsidRPr="003A0DD3" w:rsidRDefault="008E5DDD" w:rsidP="00645164">
      <w:pPr>
        <w:numPr>
          <w:ilvl w:val="0"/>
          <w:numId w:val="15"/>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Elokuu 2025</w:t>
      </w:r>
      <w:r w:rsidRPr="003A0DD3">
        <w:rPr>
          <w:rFonts w:ascii="Arial" w:eastAsia="Aptos" w:hAnsi="Arial"/>
          <w:kern w:val="2"/>
          <w:sz w:val="24"/>
          <w:szCs w:val="24"/>
          <w14:ligatures w14:val="standardContextual"/>
        </w:rPr>
        <w:t>: Yleiskäyttöisten tekoälymallien tarjoajiin kohdistuvat vaatimukset</w:t>
      </w:r>
    </w:p>
    <w:p w14:paraId="48F62310" w14:textId="77777777" w:rsidR="008E5DDD" w:rsidRPr="003A0DD3" w:rsidRDefault="008E5DDD" w:rsidP="00645164">
      <w:pPr>
        <w:numPr>
          <w:ilvl w:val="0"/>
          <w:numId w:val="15"/>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Elokuu 2026</w:t>
      </w:r>
      <w:r w:rsidRPr="003A0DD3">
        <w:rPr>
          <w:rFonts w:ascii="Arial" w:eastAsia="Aptos" w:hAnsi="Arial"/>
          <w:kern w:val="2"/>
          <w:sz w:val="24"/>
          <w:szCs w:val="24"/>
          <w14:ligatures w14:val="standardContextual"/>
        </w:rPr>
        <w:t>: Generatiivisen tekoälyn läpinäkyvyysvaatimukset tarjoajille ja käyttöönottajille</w:t>
      </w:r>
    </w:p>
    <w:p w14:paraId="25ABFB4D" w14:textId="77777777" w:rsidR="008E5DDD" w:rsidRPr="003A0DD3" w:rsidRDefault="008E5DDD" w:rsidP="00645164">
      <w:pPr>
        <w:numPr>
          <w:ilvl w:val="0"/>
          <w:numId w:val="15"/>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b/>
          <w:bCs/>
          <w:kern w:val="2"/>
          <w:sz w:val="24"/>
          <w:szCs w:val="24"/>
          <w14:ligatures w14:val="standardContextual"/>
        </w:rPr>
        <w:t>Elokuu 2027</w:t>
      </w:r>
      <w:r w:rsidRPr="003A0DD3">
        <w:rPr>
          <w:rFonts w:ascii="Arial" w:eastAsia="Aptos" w:hAnsi="Arial"/>
          <w:kern w:val="2"/>
          <w:sz w:val="24"/>
          <w:szCs w:val="24"/>
          <w14:ligatures w14:val="standardContextual"/>
        </w:rPr>
        <w:t>: Korkean riskin järjestelmien vaatimukset tarjoajille ja käyttöönottajille.</w:t>
      </w:r>
    </w:p>
    <w:p w14:paraId="51D46E52" w14:textId="77777777" w:rsidR="008E5DDD" w:rsidRPr="003A0DD3" w:rsidRDefault="008E5DDD" w:rsidP="008E5DDD">
      <w:pPr>
        <w:rPr>
          <w:rFonts w:ascii="Arial" w:eastAsia="Aptos" w:hAnsi="Arial"/>
          <w:kern w:val="2"/>
          <w:sz w:val="24"/>
          <w:szCs w:val="24"/>
          <w14:ligatures w14:val="standardContextual"/>
        </w:rPr>
      </w:pPr>
    </w:p>
    <w:p w14:paraId="575BF16F" w14:textId="7AB7925C"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Kaiken on siis oltava valmista ja implementoitu viimeistään elokuussa 2027. Aikaa siis on, mutta sitä myös tarvitaan. Korkeariskisten järjestelmien tarjoaminen ja käyttöönotto vaativat toimenpiteitä, joita varten prosessit ja vastuut on oltava </w:t>
      </w:r>
      <w:r w:rsidRPr="003A0DD3">
        <w:rPr>
          <w:rFonts w:ascii="Arial" w:eastAsia="Aptos" w:hAnsi="Arial"/>
          <w:b/>
          <w:bCs/>
          <w:kern w:val="2"/>
          <w:sz w:val="24"/>
          <w:szCs w:val="24"/>
          <w14:ligatures w14:val="standardContextual"/>
        </w:rPr>
        <w:t>määritelty</w:t>
      </w:r>
      <w:r w:rsidRPr="003A0DD3">
        <w:rPr>
          <w:rFonts w:ascii="Arial" w:eastAsia="Aptos" w:hAnsi="Arial"/>
          <w:kern w:val="2"/>
          <w:sz w:val="24"/>
          <w:szCs w:val="24"/>
          <w14:ligatures w14:val="standardContextual"/>
        </w:rPr>
        <w:t xml:space="preserve"> sekä </w:t>
      </w:r>
      <w:r w:rsidRPr="003A0DD3">
        <w:rPr>
          <w:rFonts w:ascii="Arial" w:eastAsia="Aptos" w:hAnsi="Arial"/>
          <w:b/>
          <w:bCs/>
          <w:kern w:val="2"/>
          <w:sz w:val="24"/>
          <w:szCs w:val="24"/>
          <w14:ligatures w14:val="standardContextual"/>
        </w:rPr>
        <w:t>implementoitu</w:t>
      </w:r>
      <w:r w:rsidRPr="003A0DD3">
        <w:rPr>
          <w:rFonts w:ascii="Arial" w:eastAsia="Aptos" w:hAnsi="Arial"/>
          <w:kern w:val="2"/>
          <w:sz w:val="24"/>
          <w:szCs w:val="24"/>
          <w14:ligatures w14:val="standardContextual"/>
        </w:rPr>
        <w:t xml:space="preserve"> määräpäivään mennessä. Pelkkä suunnitelma ja ajatus ei siis riitä, vaan toimenpiteiden pitää olla aktiivisessa käytössä. Uusien prosessien jalkauttaminen vaatii usein aikaa ja huolellista suunnittelua, joten jos näköpiirissä on edes mahdollisuus korkeariskisille järjestelmille (esim. tekoälyn käyttö rekrytoinnissa tai työntekijöiden johtamisessa), valmistautuminen kannattaa aloittaa mahdollisimman pian.</w:t>
      </w:r>
    </w:p>
    <w:p w14:paraId="1BF825D0" w14:textId="6F76CC21"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Ensimmäisenä astuvat voimaan säädöksen yleiset vaatimukset, kuten vaatimus riittävästä tekoälylukutaidosta.</w:t>
      </w:r>
    </w:p>
    <w:p w14:paraId="3B81FFCE" w14:textId="77777777" w:rsidR="003A0DD3" w:rsidRPr="003A0DD3" w:rsidRDefault="003A0DD3" w:rsidP="008E5DDD">
      <w:pPr>
        <w:rPr>
          <w:rFonts w:ascii="Arial" w:eastAsia="Aptos" w:hAnsi="Arial"/>
          <w:kern w:val="2"/>
          <w:sz w:val="24"/>
          <w:szCs w:val="24"/>
          <w14:ligatures w14:val="standardContextual"/>
        </w:rPr>
      </w:pPr>
    </w:p>
    <w:p w14:paraId="19CF5822" w14:textId="77777777" w:rsidR="008E5DDD" w:rsidRPr="003A0DD3" w:rsidRDefault="008E5DDD" w:rsidP="008E5DDD">
      <w:pPr>
        <w:rPr>
          <w:rFonts w:ascii="Arial" w:eastAsia="Aptos" w:hAnsi="Arial"/>
          <w:b/>
          <w:bCs/>
          <w:kern w:val="2"/>
          <w:sz w:val="24"/>
          <w:szCs w:val="24"/>
          <w14:ligatures w14:val="standardContextual"/>
        </w:rPr>
      </w:pPr>
      <w:r w:rsidRPr="003A0DD3">
        <w:rPr>
          <w:rFonts w:ascii="Arial" w:eastAsia="Aptos" w:hAnsi="Arial"/>
          <w:b/>
          <w:bCs/>
          <w:kern w:val="2"/>
          <w:sz w:val="24"/>
          <w:szCs w:val="24"/>
          <w14:ligatures w14:val="standardContextual"/>
        </w:rPr>
        <w:t>Tekoälylukutaito</w:t>
      </w:r>
    </w:p>
    <w:p w14:paraId="4274D356" w14:textId="77777777" w:rsidR="008E5DDD" w:rsidRPr="003A0DD3" w:rsidRDefault="008E5DDD" w:rsidP="008E5DDD">
      <w:pPr>
        <w:rPr>
          <w:rFonts w:ascii="Arial" w:eastAsia="Aptos" w:hAnsi="Arial"/>
          <w:kern w:val="2"/>
          <w:sz w:val="24"/>
          <w:szCs w:val="24"/>
          <w14:ligatures w14:val="standardContextual"/>
        </w:rPr>
      </w:pPr>
    </w:p>
    <w:p w14:paraId="16DC72EB" w14:textId="77777777" w:rsidR="008E5DDD" w:rsidRPr="003A0DD3" w:rsidRDefault="008E5DDD" w:rsidP="008E5DDD">
      <w:pPr>
        <w:ind w:left="720"/>
        <w:rPr>
          <w:rFonts w:ascii="Arial" w:eastAsia="Aptos" w:hAnsi="Arial"/>
          <w:i/>
          <w:iCs/>
          <w:kern w:val="2"/>
          <w:sz w:val="24"/>
          <w:szCs w:val="24"/>
          <w14:ligatures w14:val="standardContextual"/>
        </w:rPr>
      </w:pPr>
      <w:r w:rsidRPr="003A0DD3">
        <w:rPr>
          <w:rFonts w:ascii="Arial" w:eastAsia="Aptos" w:hAnsi="Arial"/>
          <w:i/>
          <w:iCs/>
          <w:kern w:val="2"/>
          <w:sz w:val="24"/>
          <w:szCs w:val="24"/>
          <w14:ligatures w14:val="standardContextual"/>
        </w:rPr>
        <w:t>“Tekoälyjärjestelmien tarjoajien ja käyttöönottajien on parhaansa mukaan toteutettava toimenpiteitä, joilla ne varmistavat henkilöstönsä ja muiden niiden puolesta tekoälyjärjestelmien toiminnasta ja käytöstä vastaavien henkilöiden riittävän tekoälylukutaidon, minkä yhteydessä otetaan huomioon heidän tekninen tietämyksensä, kokemuksensa, koulutuksensa ja tekoälyjärjestelmien käyttöyhteys sekä henkilöt tai henkilöryhmät, joihin tekoälyjärjestelmiä on määrä käyttää.” (Artikla 4)</w:t>
      </w:r>
    </w:p>
    <w:p w14:paraId="223171B2" w14:textId="77777777" w:rsidR="008E5DDD" w:rsidRPr="003A0DD3" w:rsidRDefault="008E5DDD" w:rsidP="008E5DDD">
      <w:pPr>
        <w:rPr>
          <w:rFonts w:ascii="Arial" w:eastAsia="Aptos" w:hAnsi="Arial"/>
          <w:kern w:val="2"/>
          <w:sz w:val="24"/>
          <w:szCs w:val="24"/>
          <w14:ligatures w14:val="standardContextual"/>
        </w:rPr>
      </w:pPr>
    </w:p>
    <w:p w14:paraId="5DE388B6" w14:textId="77777777"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Jokaisen organisaation, joka kehittää tai ottaa käyttöön tekoälyä, on siis varmistettava henkilöstölleen riittävät tekoälytaidot. Määritelmä riittävälle tasolle ei ole nykyisellään </w:t>
      </w:r>
      <w:r w:rsidRPr="003A0DD3">
        <w:rPr>
          <w:rFonts w:ascii="Arial" w:eastAsia="Aptos" w:hAnsi="Arial"/>
          <w:kern w:val="2"/>
          <w:sz w:val="24"/>
          <w:szCs w:val="24"/>
          <w14:ligatures w14:val="standardContextual"/>
        </w:rPr>
        <w:lastRenderedPageBreak/>
        <w:t xml:space="preserve">kuitenkaan kovinkaan tarkka, eikä tulkintaohjeita ole vielä saatavilla. Tärkeintä onkin tällä </w:t>
      </w:r>
      <w:proofErr w:type="spellStart"/>
      <w:r w:rsidRPr="003A0DD3">
        <w:rPr>
          <w:rFonts w:ascii="Arial" w:eastAsia="Aptos" w:hAnsi="Arial"/>
          <w:kern w:val="2"/>
          <w:sz w:val="24"/>
          <w:szCs w:val="24"/>
          <w14:ligatures w14:val="standardContextual"/>
        </w:rPr>
        <w:t>hetlellä</w:t>
      </w:r>
      <w:proofErr w:type="spellEnd"/>
      <w:r w:rsidRPr="003A0DD3">
        <w:rPr>
          <w:rFonts w:ascii="Arial" w:eastAsia="Aptos" w:hAnsi="Arial"/>
          <w:kern w:val="2"/>
          <w:sz w:val="24"/>
          <w:szCs w:val="24"/>
          <w14:ligatures w14:val="standardContextual"/>
        </w:rPr>
        <w:t xml:space="preserve"> miettiä: </w:t>
      </w:r>
      <w:r w:rsidRPr="003A0DD3">
        <w:rPr>
          <w:rFonts w:ascii="Arial" w:eastAsia="Aptos" w:hAnsi="Arial"/>
          <w:b/>
          <w:bCs/>
          <w:kern w:val="2"/>
          <w:sz w:val="24"/>
          <w:szCs w:val="24"/>
          <w14:ligatures w14:val="standardContextual"/>
        </w:rPr>
        <w:t xml:space="preserve">millaisella koulutuksella voisimmen varmistaa, että tekoälyä työssään käyttävillä tai sen parissa työskentelevillä on riittävät edellytykset noudattaa </w:t>
      </w:r>
      <w:proofErr w:type="spellStart"/>
      <w:r w:rsidRPr="003A0DD3">
        <w:rPr>
          <w:rFonts w:ascii="Arial" w:eastAsia="Aptos" w:hAnsi="Arial"/>
          <w:b/>
          <w:bCs/>
          <w:kern w:val="2"/>
          <w:sz w:val="24"/>
          <w:szCs w:val="24"/>
          <w14:ligatures w14:val="standardContextual"/>
        </w:rPr>
        <w:t>tekoälyäädöksen</w:t>
      </w:r>
      <w:proofErr w:type="spellEnd"/>
      <w:r w:rsidRPr="003A0DD3">
        <w:rPr>
          <w:rFonts w:ascii="Arial" w:eastAsia="Aptos" w:hAnsi="Arial"/>
          <w:b/>
          <w:bCs/>
          <w:kern w:val="2"/>
          <w:sz w:val="24"/>
          <w:szCs w:val="24"/>
          <w14:ligatures w14:val="standardContextual"/>
        </w:rPr>
        <w:t xml:space="preserve"> vaatimuksia</w:t>
      </w:r>
      <w:r w:rsidRPr="003A0DD3">
        <w:rPr>
          <w:rFonts w:ascii="Arial" w:eastAsia="Aptos" w:hAnsi="Arial"/>
          <w:kern w:val="2"/>
          <w:sz w:val="24"/>
          <w:szCs w:val="24"/>
          <w14:ligatures w14:val="standardContextual"/>
        </w:rPr>
        <w:t>?</w:t>
      </w:r>
    </w:p>
    <w:p w14:paraId="1C0D09E8" w14:textId="2F72387C"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Kaikkien ei siis tarvitse osata koodata tekoälyjärjestelmiä, tai edes ymmärtää työkalujen teknisiä yksityiskohtia syvällisesti. Kehittäjiltä vaaditaan parempaa teknistä osaamista ja kykyä valita sopivat, ihmisten perusoikeuksia kunnioittavat tekoälymallit, kun taas esimerkiksi generatiivisen tekoälyn käyttäjiltä vaaditaan taitoa tunnistaa järjestelmien haasteita ja rajallisuuksia, ja hahmottaa niiden </w:t>
      </w:r>
      <w:proofErr w:type="spellStart"/>
      <w:r w:rsidRPr="003A0DD3">
        <w:rPr>
          <w:rFonts w:ascii="Arial" w:eastAsia="Aptos" w:hAnsi="Arial"/>
          <w:kern w:val="2"/>
          <w:sz w:val="24"/>
          <w:szCs w:val="24"/>
          <w14:ligatures w14:val="standardContextual"/>
        </w:rPr>
        <w:t>toiminna</w:t>
      </w:r>
      <w:proofErr w:type="spellEnd"/>
      <w:r w:rsidRPr="003A0DD3">
        <w:rPr>
          <w:rFonts w:ascii="Arial" w:eastAsia="Aptos" w:hAnsi="Arial"/>
          <w:kern w:val="2"/>
          <w:sz w:val="24"/>
          <w:szCs w:val="24"/>
          <w14:ligatures w14:val="standardContextual"/>
        </w:rPr>
        <w:t xml:space="preserve"> perusperiaatteet. Näillä taidoilla on siis tarkoitus varmistaa, että kullakin on heidän omaan rooliinsa nähden mahdollisuus kehittää ja käyttää tekoälyä eettisesti ja lainmukaisesti.</w:t>
      </w:r>
    </w:p>
    <w:p w14:paraId="65A25CBF" w14:textId="6F69230A"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On myös oletettavaa, että korkeamman riskitason ratkaisuja käytettäessä vaatimukset tekoälylukutaidolle ovat korkeammat kuin matalariskisiä järjestelmiä käytettäessä.</w:t>
      </w:r>
    </w:p>
    <w:p w14:paraId="20CD06CC" w14:textId="77777777" w:rsidR="008E5DDD" w:rsidRPr="003A0DD3" w:rsidRDefault="008E5DDD" w:rsidP="008E5DDD">
      <w:pPr>
        <w:rPr>
          <w:rFonts w:ascii="Arial" w:eastAsia="Aptos" w:hAnsi="Arial"/>
          <w:b/>
          <w:kern w:val="2"/>
          <w:sz w:val="24"/>
          <w:szCs w:val="24"/>
          <w14:ligatures w14:val="standardContextual"/>
        </w:rPr>
      </w:pPr>
      <w:r w:rsidRPr="003A0DD3">
        <w:rPr>
          <w:rFonts w:ascii="Arial" w:eastAsia="Aptos" w:hAnsi="Arial"/>
          <w:b/>
          <w:kern w:val="2"/>
          <w:sz w:val="24"/>
          <w:szCs w:val="24"/>
          <w14:ligatures w14:val="standardContextual"/>
        </w:rPr>
        <w:t xml:space="preserve">Pohdi seuraavia kysymyksiä: </w:t>
      </w:r>
    </w:p>
    <w:p w14:paraId="748A79CD" w14:textId="77777777" w:rsidR="008E5DDD" w:rsidRPr="003A0DD3" w:rsidRDefault="008E5DDD" w:rsidP="00645164">
      <w:pPr>
        <w:numPr>
          <w:ilvl w:val="0"/>
          <w:numId w:val="14"/>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Millaista osaamista organisaatiossamme on tekoälyn osalta? </w:t>
      </w:r>
    </w:p>
    <w:p w14:paraId="7F6FA86D" w14:textId="77777777" w:rsidR="008E5DDD" w:rsidRPr="003A0DD3" w:rsidRDefault="008E5DDD" w:rsidP="00645164">
      <w:pPr>
        <w:numPr>
          <w:ilvl w:val="0"/>
          <w:numId w:val="14"/>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Millaisiin käyttötarkoituksiin tekoälyä meillä käytetään?</w:t>
      </w:r>
    </w:p>
    <w:p w14:paraId="25918E4F" w14:textId="75844C1E" w:rsidR="008E5DDD" w:rsidRPr="003A0DD3" w:rsidRDefault="008E5DDD" w:rsidP="00645164">
      <w:pPr>
        <w:numPr>
          <w:ilvl w:val="0"/>
          <w:numId w:val="14"/>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Olemmeko tarjonneet tekijöillemme riittävän osaamisen ja valmiuden, jotta he tietävät, mihin tarkoituksiin tekoälyä kannattaa ja ei kannata käyttää, miten arvioida kriittisesti tekoälyn tuotoksia, ja miten varmistaa, että tekoälyä käytetään lain mukaisesti?</w:t>
      </w:r>
    </w:p>
    <w:p w14:paraId="5C0D239F" w14:textId="77777777" w:rsidR="008E5DDD" w:rsidRPr="003A0DD3" w:rsidRDefault="008E5DDD" w:rsidP="008E5DDD">
      <w:pPr>
        <w:rPr>
          <w:rFonts w:ascii="Arial" w:eastAsia="Aptos" w:hAnsi="Arial"/>
          <w:kern w:val="2"/>
          <w:sz w:val="24"/>
          <w:szCs w:val="24"/>
          <w14:ligatures w14:val="standardContextual"/>
        </w:rPr>
      </w:pPr>
    </w:p>
    <w:p w14:paraId="001E102E" w14:textId="7E7418E4"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Muista myös dokumentoida toimet, joita olette tehneet tekoälylukutaidosta huolehtimiseksi, jotta voit tarvittaessa näyttää organisaatiosi tehneen parhaansa tekoälylukutaidon varmistamiseksi ja siten tekoälysäädöksen vaatimuksen täyttämiseksi. Lisää tulkintaohjeita ja parhaita käytäntöjä tekoälylukutaidon saavuttamiseksi on odotettavissa EU:n tekoälytoimistolta vielä lähiaikoina.</w:t>
      </w:r>
    </w:p>
    <w:p w14:paraId="756048A3" w14:textId="6334F2DB" w:rsidR="008E5DDD"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Voit käyttää apuna myös tästä oppaasta löytyviä itsearviointityökaluja valmistautuessasi tekoälysäädökseen.</w:t>
      </w:r>
    </w:p>
    <w:p w14:paraId="0155B698" w14:textId="77777777" w:rsidR="005822B7" w:rsidRPr="003A0DD3" w:rsidRDefault="005822B7" w:rsidP="008E5DDD">
      <w:pPr>
        <w:rPr>
          <w:rFonts w:ascii="Arial" w:eastAsia="Aptos" w:hAnsi="Arial"/>
          <w:kern w:val="2"/>
          <w:sz w:val="24"/>
          <w:szCs w:val="24"/>
          <w14:ligatures w14:val="standardContextual"/>
        </w:rPr>
      </w:pPr>
    </w:p>
    <w:p w14:paraId="77B308EF" w14:textId="46EBE820" w:rsidR="008E5DDD" w:rsidRPr="003A0DD3" w:rsidRDefault="008E5DDD" w:rsidP="008E5DDD">
      <w:pPr>
        <w:rPr>
          <w:rFonts w:ascii="Arial" w:eastAsia="Aptos" w:hAnsi="Arial"/>
          <w:kern w:val="2"/>
          <w:sz w:val="24"/>
          <w:szCs w:val="24"/>
          <w14:ligatures w14:val="standardContextual"/>
        </w:rPr>
      </w:pPr>
      <w:proofErr w:type="spellStart"/>
      <w:r w:rsidRPr="003A0DD3">
        <w:rPr>
          <w:rFonts w:ascii="Arial" w:eastAsia="Aptos" w:hAnsi="Arial"/>
          <w:kern w:val="2"/>
          <w:sz w:val="24"/>
          <w:szCs w:val="24"/>
          <w14:ligatures w14:val="standardContextual"/>
        </w:rPr>
        <w:t>Cheat</w:t>
      </w:r>
      <w:proofErr w:type="spellEnd"/>
      <w:r w:rsidRPr="003A0DD3">
        <w:rPr>
          <w:rFonts w:ascii="Arial" w:eastAsia="Aptos" w:hAnsi="Arial"/>
          <w:kern w:val="2"/>
          <w:sz w:val="24"/>
          <w:szCs w:val="24"/>
          <w14:ligatures w14:val="standardContextual"/>
        </w:rPr>
        <w:t xml:space="preserve"> </w:t>
      </w:r>
      <w:proofErr w:type="spellStart"/>
      <w:r w:rsidRPr="003A0DD3">
        <w:rPr>
          <w:rFonts w:ascii="Arial" w:eastAsia="Aptos" w:hAnsi="Arial"/>
          <w:kern w:val="2"/>
          <w:sz w:val="24"/>
          <w:szCs w:val="24"/>
          <w14:ligatures w14:val="standardContextual"/>
        </w:rPr>
        <w:t>sheet</w:t>
      </w:r>
      <w:proofErr w:type="spellEnd"/>
      <w:r w:rsidRPr="003A0DD3">
        <w:rPr>
          <w:rFonts w:ascii="Arial" w:eastAsia="Aptos" w:hAnsi="Arial"/>
          <w:kern w:val="2"/>
          <w:sz w:val="24"/>
          <w:szCs w:val="24"/>
          <w14:ligatures w14:val="standardContextual"/>
        </w:rPr>
        <w:t xml:space="preserve">: </w:t>
      </w:r>
    </w:p>
    <w:p w14:paraId="2A6AAD44"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Tunnista tekoälyjärjestelmät.</w:t>
      </w:r>
    </w:p>
    <w:p w14:paraId="5985C7AB"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Tunnista oman organisaatiosi rooli.</w:t>
      </w:r>
    </w:p>
    <w:p w14:paraId="7C49CD46"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Tunnista käytössä ja kehitteillä olevien tekoälyjärjestelmien riskitaso</w:t>
      </w:r>
    </w:p>
    <w:p w14:paraId="3654F4AF"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Tekoälylukutaito: Hahmota oman organisaatiosi työntekijöiden roolit tekoälyn kehittämisessä ja käytössä ja osaaminen, jota roolit vaativat tekoälyn lainmukaiseksi käyttämiseksi</w:t>
      </w:r>
    </w:p>
    <w:p w14:paraId="743BB9F5"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Arvioi nykyinen kypsyystaso yllä olevilla osa-alueilla ja priorisoi askeleet kohti lainmukaisuutta</w:t>
      </w:r>
    </w:p>
    <w:p w14:paraId="3259EAC9" w14:textId="77777777" w:rsidR="008E5DDD" w:rsidRPr="003A0DD3" w:rsidRDefault="008E5DDD" w:rsidP="00645164">
      <w:pPr>
        <w:numPr>
          <w:ilvl w:val="0"/>
          <w:numId w:val="11"/>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Aloita korkeimman prioriteetin prosesseista, pala kerrallaan.</w:t>
      </w:r>
    </w:p>
    <w:p w14:paraId="57234790" w14:textId="77777777" w:rsidR="008E5DDD" w:rsidRPr="003A0DD3" w:rsidRDefault="008E5DDD" w:rsidP="008E5DDD">
      <w:pPr>
        <w:rPr>
          <w:rFonts w:ascii="Arial" w:eastAsia="Aptos" w:hAnsi="Arial"/>
          <w:kern w:val="2"/>
          <w:sz w:val="24"/>
          <w:szCs w:val="24"/>
          <w14:ligatures w14:val="standardContextual"/>
        </w:rPr>
      </w:pPr>
    </w:p>
    <w:p w14:paraId="04F77CF6" w14:textId="7FF5F56B" w:rsidR="008E5DDD" w:rsidRPr="003A0DD3" w:rsidRDefault="008E5DDD" w:rsidP="008E5DDD">
      <w:pPr>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lastRenderedPageBreak/>
        <w:t xml:space="preserve">Resursseja tekoälysäädöksen soveltamisen ja tekoälyn hallinnan tueksi: </w:t>
      </w:r>
    </w:p>
    <w:p w14:paraId="258196DA" w14:textId="77777777" w:rsidR="008E5DDD" w:rsidRPr="003A0DD3" w:rsidRDefault="008E5DDD" w:rsidP="00645164">
      <w:pPr>
        <w:numPr>
          <w:ilvl w:val="0"/>
          <w:numId w:val="13"/>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Kirja tekoälysäädöksen varhaisen tulkinnan tueksi: </w:t>
      </w:r>
      <w:proofErr w:type="spellStart"/>
      <w:r w:rsidRPr="003A0DD3">
        <w:rPr>
          <w:rFonts w:ascii="Arial" w:eastAsia="Aptos" w:hAnsi="Arial"/>
          <w:kern w:val="2"/>
          <w:sz w:val="24"/>
          <w:szCs w:val="24"/>
          <w14:ligatures w14:val="standardContextual"/>
        </w:rPr>
        <w:t>Hense</w:t>
      </w:r>
      <w:proofErr w:type="spellEnd"/>
      <w:r w:rsidRPr="003A0DD3">
        <w:rPr>
          <w:rFonts w:ascii="Arial" w:eastAsia="Aptos" w:hAnsi="Arial"/>
          <w:kern w:val="2"/>
          <w:sz w:val="24"/>
          <w:szCs w:val="24"/>
          <w14:ligatures w14:val="standardContextual"/>
        </w:rPr>
        <w:t xml:space="preserve"> &amp; </w:t>
      </w:r>
      <w:proofErr w:type="spellStart"/>
      <w:r w:rsidRPr="003A0DD3">
        <w:rPr>
          <w:rFonts w:ascii="Arial" w:eastAsia="Aptos" w:hAnsi="Arial"/>
          <w:kern w:val="2"/>
          <w:sz w:val="24"/>
          <w:szCs w:val="24"/>
          <w14:ligatures w14:val="standardContextual"/>
        </w:rPr>
        <w:t>Mustac</w:t>
      </w:r>
      <w:proofErr w:type="spellEnd"/>
      <w:r w:rsidRPr="003A0DD3">
        <w:rPr>
          <w:rFonts w:ascii="Arial" w:eastAsia="Aptos" w:hAnsi="Arial"/>
          <w:kern w:val="2"/>
          <w:sz w:val="24"/>
          <w:szCs w:val="24"/>
          <w14:ligatures w14:val="standardContextual"/>
        </w:rPr>
        <w:t xml:space="preserve"> (2024) </w:t>
      </w:r>
      <w:r w:rsidRPr="003A0DD3">
        <w:rPr>
          <w:rFonts w:ascii="Arial" w:eastAsia="Aptos" w:hAnsi="Arial"/>
          <w:i/>
          <w:iCs/>
          <w:kern w:val="2"/>
          <w:sz w:val="24"/>
          <w:szCs w:val="24"/>
          <w14:ligatures w14:val="standardContextual"/>
        </w:rPr>
        <w:t xml:space="preserve">AI Act </w:t>
      </w:r>
      <w:proofErr w:type="spellStart"/>
      <w:r w:rsidRPr="003A0DD3">
        <w:rPr>
          <w:rFonts w:ascii="Arial" w:eastAsia="Aptos" w:hAnsi="Arial"/>
          <w:i/>
          <w:iCs/>
          <w:kern w:val="2"/>
          <w:sz w:val="24"/>
          <w:szCs w:val="24"/>
          <w14:ligatures w14:val="standardContextual"/>
        </w:rPr>
        <w:t>Compact</w:t>
      </w:r>
      <w:proofErr w:type="spellEnd"/>
      <w:r w:rsidRPr="003A0DD3">
        <w:rPr>
          <w:rFonts w:ascii="Arial" w:eastAsia="Aptos" w:hAnsi="Arial"/>
          <w:i/>
          <w:iCs/>
          <w:kern w:val="2"/>
          <w:sz w:val="24"/>
          <w:szCs w:val="24"/>
          <w14:ligatures w14:val="standardContextual"/>
        </w:rPr>
        <w:t xml:space="preserve">. </w:t>
      </w:r>
      <w:proofErr w:type="spellStart"/>
      <w:r w:rsidRPr="003A0DD3">
        <w:rPr>
          <w:rFonts w:ascii="Arial" w:eastAsia="Aptos" w:hAnsi="Arial"/>
          <w:i/>
          <w:iCs/>
          <w:kern w:val="2"/>
          <w:sz w:val="24"/>
          <w:szCs w:val="24"/>
          <w14:ligatures w14:val="standardContextual"/>
        </w:rPr>
        <w:t>Compliance</w:t>
      </w:r>
      <w:proofErr w:type="spellEnd"/>
      <w:r w:rsidRPr="003A0DD3">
        <w:rPr>
          <w:rFonts w:ascii="Arial" w:eastAsia="Aptos" w:hAnsi="Arial"/>
          <w:i/>
          <w:iCs/>
          <w:kern w:val="2"/>
          <w:sz w:val="24"/>
          <w:szCs w:val="24"/>
          <w14:ligatures w14:val="standardContextual"/>
        </w:rPr>
        <w:t xml:space="preserve">, management &amp; </w:t>
      </w:r>
      <w:proofErr w:type="spellStart"/>
      <w:r w:rsidRPr="003A0DD3">
        <w:rPr>
          <w:rFonts w:ascii="Arial" w:eastAsia="Aptos" w:hAnsi="Arial"/>
          <w:i/>
          <w:iCs/>
          <w:kern w:val="2"/>
          <w:sz w:val="24"/>
          <w:szCs w:val="24"/>
          <w14:ligatures w14:val="standardContextual"/>
        </w:rPr>
        <w:t>use</w:t>
      </w:r>
      <w:proofErr w:type="spellEnd"/>
      <w:r w:rsidRPr="003A0DD3">
        <w:rPr>
          <w:rFonts w:ascii="Arial" w:eastAsia="Aptos" w:hAnsi="Arial"/>
          <w:i/>
          <w:iCs/>
          <w:kern w:val="2"/>
          <w:sz w:val="24"/>
          <w:szCs w:val="24"/>
          <w14:ligatures w14:val="standardContextual"/>
        </w:rPr>
        <w:t xml:space="preserve"> </w:t>
      </w:r>
      <w:proofErr w:type="spellStart"/>
      <w:r w:rsidRPr="003A0DD3">
        <w:rPr>
          <w:rFonts w:ascii="Arial" w:eastAsia="Aptos" w:hAnsi="Arial"/>
          <w:i/>
          <w:iCs/>
          <w:kern w:val="2"/>
          <w:sz w:val="24"/>
          <w:szCs w:val="24"/>
          <w14:ligatures w14:val="standardContextual"/>
        </w:rPr>
        <w:t>cases</w:t>
      </w:r>
      <w:proofErr w:type="spellEnd"/>
      <w:r w:rsidRPr="003A0DD3">
        <w:rPr>
          <w:rFonts w:ascii="Arial" w:eastAsia="Aptos" w:hAnsi="Arial"/>
          <w:i/>
          <w:iCs/>
          <w:kern w:val="2"/>
          <w:sz w:val="24"/>
          <w:szCs w:val="24"/>
          <w14:ligatures w14:val="standardContextual"/>
        </w:rPr>
        <w:t xml:space="preserve"> in </w:t>
      </w:r>
      <w:proofErr w:type="spellStart"/>
      <w:r w:rsidRPr="003A0DD3">
        <w:rPr>
          <w:rFonts w:ascii="Arial" w:eastAsia="Aptos" w:hAnsi="Arial"/>
          <w:i/>
          <w:iCs/>
          <w:kern w:val="2"/>
          <w:sz w:val="24"/>
          <w:szCs w:val="24"/>
          <w14:ligatures w14:val="standardContextual"/>
        </w:rPr>
        <w:t>corporate</w:t>
      </w:r>
      <w:proofErr w:type="spellEnd"/>
      <w:r w:rsidRPr="003A0DD3">
        <w:rPr>
          <w:rFonts w:ascii="Arial" w:eastAsia="Aptos" w:hAnsi="Arial"/>
          <w:i/>
          <w:iCs/>
          <w:kern w:val="2"/>
          <w:sz w:val="24"/>
          <w:szCs w:val="24"/>
          <w14:ligatures w14:val="standardContextual"/>
        </w:rPr>
        <w:t xml:space="preserve"> </w:t>
      </w:r>
      <w:proofErr w:type="spellStart"/>
      <w:r w:rsidRPr="003A0DD3">
        <w:rPr>
          <w:rFonts w:ascii="Arial" w:eastAsia="Aptos" w:hAnsi="Arial"/>
          <w:i/>
          <w:iCs/>
          <w:kern w:val="2"/>
          <w:sz w:val="24"/>
          <w:szCs w:val="24"/>
          <w14:ligatures w14:val="standardContextual"/>
        </w:rPr>
        <w:t>practice</w:t>
      </w:r>
      <w:proofErr w:type="spellEnd"/>
      <w:r w:rsidRPr="003A0DD3">
        <w:rPr>
          <w:rFonts w:ascii="Arial" w:eastAsia="Aptos" w:hAnsi="Arial"/>
          <w:kern w:val="2"/>
          <w:sz w:val="24"/>
          <w:szCs w:val="24"/>
          <w14:ligatures w14:val="standardContextual"/>
        </w:rPr>
        <w:t>.</w:t>
      </w:r>
    </w:p>
    <w:p w14:paraId="7784E67C" w14:textId="77777777" w:rsidR="008E5DDD" w:rsidRPr="0014733B" w:rsidRDefault="008E5DDD" w:rsidP="00645164">
      <w:pPr>
        <w:numPr>
          <w:ilvl w:val="0"/>
          <w:numId w:val="13"/>
        </w:numPr>
        <w:spacing w:after="0" w:line="240" w:lineRule="auto"/>
        <w:contextualSpacing/>
        <w:jc w:val="left"/>
        <w:rPr>
          <w:rFonts w:ascii="Arial" w:eastAsia="Aptos" w:hAnsi="Arial"/>
          <w:kern w:val="2"/>
          <w:sz w:val="24"/>
          <w:szCs w:val="24"/>
          <w:lang w:val="en-US"/>
          <w14:ligatures w14:val="standardContextual"/>
        </w:rPr>
      </w:pPr>
      <w:proofErr w:type="spellStart"/>
      <w:r w:rsidRPr="0014733B">
        <w:rPr>
          <w:rFonts w:ascii="Arial" w:eastAsia="Aptos" w:hAnsi="Arial"/>
          <w:kern w:val="2"/>
          <w:sz w:val="24"/>
          <w:szCs w:val="24"/>
          <w:lang w:val="en-US"/>
          <w14:ligatures w14:val="standardContextual"/>
        </w:rPr>
        <w:t>GenAI</w:t>
      </w:r>
      <w:proofErr w:type="spellEnd"/>
      <w:r w:rsidRPr="0014733B">
        <w:rPr>
          <w:rFonts w:ascii="Arial" w:eastAsia="Aptos" w:hAnsi="Arial"/>
          <w:kern w:val="2"/>
          <w:sz w:val="24"/>
          <w:szCs w:val="24"/>
          <w:lang w:val="en-US"/>
          <w14:ligatures w14:val="standardContextual"/>
        </w:rPr>
        <w:t xml:space="preserve"> Risk Assessment tool (GAIRA): </w:t>
      </w:r>
      <w:hyperlink r:id="rId36" w:history="1">
        <w:r w:rsidRPr="0014733B">
          <w:rPr>
            <w:rFonts w:ascii="Arial" w:eastAsia="Aptos" w:hAnsi="Arial"/>
            <w:color w:val="467886"/>
            <w:kern w:val="2"/>
            <w:sz w:val="24"/>
            <w:szCs w:val="24"/>
            <w:u w:val="single"/>
            <w:lang w:val="en-US"/>
            <w14:ligatures w14:val="standardContextual"/>
          </w:rPr>
          <w:t>https://www.vischer.com/en/knowledge/blog/gaira-now-with-an-ai-act-check-an-additional-dpia-and-in-german/</w:t>
        </w:r>
      </w:hyperlink>
      <w:r w:rsidRPr="0014733B">
        <w:rPr>
          <w:rFonts w:ascii="Arial" w:eastAsia="Aptos" w:hAnsi="Arial"/>
          <w:kern w:val="2"/>
          <w:sz w:val="24"/>
          <w:szCs w:val="24"/>
          <w:lang w:val="en-US"/>
          <w14:ligatures w14:val="standardContextual"/>
        </w:rPr>
        <w:t xml:space="preserve"> </w:t>
      </w:r>
    </w:p>
    <w:p w14:paraId="408B1337" w14:textId="77777777" w:rsidR="008E5DDD" w:rsidRPr="003A0DD3" w:rsidRDefault="008E5DDD" w:rsidP="00645164">
      <w:pPr>
        <w:numPr>
          <w:ilvl w:val="0"/>
          <w:numId w:val="13"/>
        </w:numPr>
        <w:spacing w:after="0" w:line="240" w:lineRule="auto"/>
        <w:contextualSpacing/>
        <w:jc w:val="left"/>
        <w:rPr>
          <w:rFonts w:ascii="Arial" w:eastAsia="Aptos" w:hAnsi="Arial"/>
          <w:kern w:val="2"/>
          <w:sz w:val="24"/>
          <w:szCs w:val="24"/>
          <w14:ligatures w14:val="standardContextual"/>
        </w:rPr>
      </w:pPr>
      <w:r w:rsidRPr="003A0DD3">
        <w:rPr>
          <w:rFonts w:ascii="Arial" w:eastAsia="Aptos" w:hAnsi="Arial"/>
          <w:kern w:val="2"/>
          <w:sz w:val="24"/>
          <w:szCs w:val="24"/>
          <w14:ligatures w14:val="standardContextual"/>
        </w:rPr>
        <w:t xml:space="preserve">Sitran työkalu digisääntelyn soveltamiseen (tulossa pian!): </w:t>
      </w:r>
      <w:hyperlink r:id="rId37" w:history="1">
        <w:r w:rsidRPr="003A0DD3">
          <w:rPr>
            <w:rFonts w:ascii="Arial" w:eastAsia="Aptos" w:hAnsi="Arial"/>
            <w:color w:val="467886"/>
            <w:kern w:val="2"/>
            <w:sz w:val="24"/>
            <w:szCs w:val="24"/>
            <w:u w:val="single"/>
            <w14:ligatures w14:val="standardContextual"/>
          </w:rPr>
          <w:t>https://www.sitra.fi/hankkeet/tyokalut-digisaantelyn-soveltamiseen-liiketoiminnassa/</w:t>
        </w:r>
      </w:hyperlink>
    </w:p>
    <w:p w14:paraId="19FFD565" w14:textId="77777777" w:rsidR="008E5DDD" w:rsidRPr="003A0DD3" w:rsidRDefault="008E5DDD" w:rsidP="008E5DDD">
      <w:pPr>
        <w:textAlignment w:val="baseline"/>
        <w:rPr>
          <w:rFonts w:ascii="Aptos" w:eastAsia="Times New Roman" w:hAnsi="Aptos" w:cs="Times New Roman"/>
          <w:sz w:val="24"/>
          <w:szCs w:val="24"/>
          <w:lang w:eastAsia="en-GB"/>
        </w:rPr>
      </w:pPr>
    </w:p>
    <w:p w14:paraId="06AA4A5A" w14:textId="77777777" w:rsidR="008E5DDD" w:rsidRPr="003A0DD3" w:rsidRDefault="008E5DDD" w:rsidP="008E5DDD">
      <w:pPr>
        <w:textAlignment w:val="baseline"/>
        <w:rPr>
          <w:rFonts w:ascii="Aptos" w:eastAsia="Times New Roman" w:hAnsi="Aptos" w:cs="Times New Roman"/>
          <w:sz w:val="24"/>
          <w:szCs w:val="24"/>
          <w:lang w:eastAsia="en-GB"/>
        </w:rPr>
      </w:pPr>
      <w:r w:rsidRPr="003A0DD3">
        <w:rPr>
          <w:rFonts w:ascii="Aptos" w:eastAsia="Times New Roman" w:hAnsi="Aptos" w:cs="Times New Roman"/>
          <w:sz w:val="24"/>
          <w:szCs w:val="24"/>
          <w:lang w:eastAsia="en-GB"/>
        </w:rPr>
        <w:t>Muita:</w:t>
      </w:r>
    </w:p>
    <w:p w14:paraId="4DF31D2F" w14:textId="77777777" w:rsidR="008E5DDD" w:rsidRPr="0014733B" w:rsidRDefault="008E5DDD" w:rsidP="00645164">
      <w:pPr>
        <w:numPr>
          <w:ilvl w:val="0"/>
          <w:numId w:val="17"/>
        </w:numPr>
        <w:spacing w:after="0" w:line="240" w:lineRule="auto"/>
        <w:ind w:left="1080" w:firstLine="0"/>
        <w:jc w:val="left"/>
        <w:textAlignment w:val="baseline"/>
        <w:rPr>
          <w:rFonts w:ascii="Aptos" w:eastAsia="Times New Roman" w:hAnsi="Aptos" w:cs="Times New Roman"/>
          <w:sz w:val="24"/>
          <w:szCs w:val="24"/>
          <w:lang w:val="en-US" w:eastAsia="en-GB"/>
        </w:rPr>
      </w:pPr>
      <w:r w:rsidRPr="0014733B">
        <w:rPr>
          <w:rFonts w:ascii="Aptos" w:eastAsia="Times New Roman" w:hAnsi="Aptos" w:cs="Times New Roman"/>
          <w:sz w:val="24"/>
          <w:szCs w:val="24"/>
          <w:lang w:val="en-US" w:eastAsia="en-GB"/>
        </w:rPr>
        <w:t xml:space="preserve">OECD.AI catalogue of tools and metrics: </w:t>
      </w:r>
      <w:hyperlink r:id="rId38" w:tgtFrame="_blank" w:history="1">
        <w:r w:rsidRPr="0014733B">
          <w:rPr>
            <w:rFonts w:ascii="Aptos" w:eastAsia="Times New Roman" w:hAnsi="Aptos" w:cs="Times New Roman"/>
            <w:color w:val="467886"/>
            <w:sz w:val="24"/>
            <w:szCs w:val="24"/>
            <w:u w:val="single"/>
            <w:lang w:val="en-US" w:eastAsia="en-GB"/>
          </w:rPr>
          <w:t>https://oecd.ai/en/catalogue/overview</w:t>
        </w:r>
      </w:hyperlink>
      <w:r w:rsidRPr="0014733B">
        <w:rPr>
          <w:rFonts w:ascii="Aptos" w:eastAsia="Times New Roman" w:hAnsi="Aptos" w:cs="Times New Roman"/>
          <w:sz w:val="24"/>
          <w:szCs w:val="24"/>
          <w:lang w:val="en-US" w:eastAsia="en-GB"/>
        </w:rPr>
        <w:t>  </w:t>
      </w:r>
    </w:p>
    <w:p w14:paraId="02B380A6" w14:textId="77777777" w:rsidR="008E5DDD" w:rsidRPr="003A0DD3" w:rsidRDefault="008E5DDD" w:rsidP="00645164">
      <w:pPr>
        <w:numPr>
          <w:ilvl w:val="0"/>
          <w:numId w:val="18"/>
        </w:numPr>
        <w:spacing w:after="0" w:line="240" w:lineRule="auto"/>
        <w:ind w:left="1080" w:firstLine="0"/>
        <w:jc w:val="left"/>
        <w:textAlignment w:val="baseline"/>
        <w:rPr>
          <w:rFonts w:ascii="Aptos" w:eastAsia="Times New Roman" w:hAnsi="Aptos" w:cs="Times New Roman"/>
          <w:sz w:val="24"/>
          <w:szCs w:val="24"/>
          <w:lang w:eastAsia="en-GB"/>
        </w:rPr>
      </w:pPr>
      <w:r w:rsidRPr="003A0DD3">
        <w:rPr>
          <w:rFonts w:ascii="Aptos" w:eastAsia="Times New Roman" w:hAnsi="Aptos" w:cs="Times New Roman"/>
          <w:sz w:val="24"/>
          <w:szCs w:val="24"/>
          <w:lang w:eastAsia="en-GB"/>
        </w:rPr>
        <w:t xml:space="preserve">AI </w:t>
      </w:r>
      <w:proofErr w:type="spellStart"/>
      <w:r w:rsidRPr="003A0DD3">
        <w:rPr>
          <w:rFonts w:ascii="Aptos" w:eastAsia="Times New Roman" w:hAnsi="Aptos" w:cs="Times New Roman"/>
          <w:sz w:val="24"/>
          <w:szCs w:val="24"/>
          <w:lang w:eastAsia="en-GB"/>
        </w:rPr>
        <w:t>Standards</w:t>
      </w:r>
      <w:proofErr w:type="spellEnd"/>
      <w:r w:rsidRPr="003A0DD3">
        <w:rPr>
          <w:rFonts w:ascii="Aptos" w:eastAsia="Times New Roman" w:hAnsi="Aptos" w:cs="Times New Roman"/>
          <w:sz w:val="24"/>
          <w:szCs w:val="24"/>
          <w:lang w:eastAsia="en-GB"/>
        </w:rPr>
        <w:t xml:space="preserve"> </w:t>
      </w:r>
      <w:proofErr w:type="spellStart"/>
      <w:r w:rsidRPr="003A0DD3">
        <w:rPr>
          <w:rFonts w:ascii="Aptos" w:eastAsia="Times New Roman" w:hAnsi="Aptos" w:cs="Times New Roman"/>
          <w:sz w:val="24"/>
          <w:szCs w:val="24"/>
          <w:lang w:eastAsia="en-GB"/>
        </w:rPr>
        <w:t>hub</w:t>
      </w:r>
      <w:proofErr w:type="spellEnd"/>
      <w:r w:rsidRPr="003A0DD3">
        <w:rPr>
          <w:rFonts w:ascii="Aptos" w:eastAsia="Times New Roman" w:hAnsi="Aptos" w:cs="Times New Roman"/>
          <w:sz w:val="24"/>
          <w:szCs w:val="24"/>
          <w:lang w:eastAsia="en-GB"/>
        </w:rPr>
        <w:t xml:space="preserve"> (UK): </w:t>
      </w:r>
      <w:hyperlink r:id="rId39" w:tgtFrame="_blank" w:history="1">
        <w:r w:rsidRPr="003A0DD3">
          <w:rPr>
            <w:rFonts w:ascii="Aptos" w:eastAsia="Times New Roman" w:hAnsi="Aptos" w:cs="Times New Roman"/>
            <w:color w:val="467886"/>
            <w:sz w:val="24"/>
            <w:szCs w:val="24"/>
            <w:u w:val="single"/>
            <w:lang w:eastAsia="en-GB"/>
          </w:rPr>
          <w:t>https://aistandardshub.org/</w:t>
        </w:r>
      </w:hyperlink>
      <w:r w:rsidRPr="003A0DD3">
        <w:rPr>
          <w:rFonts w:ascii="Aptos" w:eastAsia="Times New Roman" w:hAnsi="Aptos" w:cs="Times New Roman"/>
          <w:sz w:val="24"/>
          <w:szCs w:val="24"/>
          <w:lang w:eastAsia="en-GB"/>
        </w:rPr>
        <w:t>  </w:t>
      </w:r>
    </w:p>
    <w:p w14:paraId="3B5B1B59" w14:textId="77777777" w:rsidR="008E5DDD" w:rsidRPr="0014733B" w:rsidRDefault="008E5DDD" w:rsidP="00645164">
      <w:pPr>
        <w:numPr>
          <w:ilvl w:val="0"/>
          <w:numId w:val="19"/>
        </w:numPr>
        <w:spacing w:after="0" w:line="240" w:lineRule="auto"/>
        <w:ind w:left="1080" w:firstLine="0"/>
        <w:jc w:val="left"/>
        <w:textAlignment w:val="baseline"/>
        <w:rPr>
          <w:rFonts w:ascii="Aptos" w:eastAsia="Times New Roman" w:hAnsi="Aptos" w:cs="Times New Roman"/>
          <w:sz w:val="24"/>
          <w:szCs w:val="24"/>
          <w:lang w:val="en-US" w:eastAsia="en-GB"/>
        </w:rPr>
      </w:pPr>
      <w:r w:rsidRPr="0014733B">
        <w:rPr>
          <w:rFonts w:ascii="Aptos" w:eastAsia="Times New Roman" w:hAnsi="Aptos" w:cs="Times New Roman"/>
          <w:sz w:val="24"/>
          <w:szCs w:val="24"/>
          <w:lang w:val="en-US" w:eastAsia="en-GB"/>
        </w:rPr>
        <w:t xml:space="preserve">Alan Turing Institute’s platform for AI Governance and Ethics in Practice: </w:t>
      </w:r>
      <w:hyperlink r:id="rId40" w:tgtFrame="_blank" w:history="1">
        <w:r w:rsidRPr="0014733B">
          <w:rPr>
            <w:rFonts w:ascii="Aptos" w:eastAsia="Times New Roman" w:hAnsi="Aptos" w:cs="Times New Roman"/>
            <w:color w:val="467886"/>
            <w:sz w:val="24"/>
            <w:szCs w:val="24"/>
            <w:u w:val="single"/>
            <w:lang w:val="en-US" w:eastAsia="en-GB"/>
          </w:rPr>
          <w:t>https://www.turing.ac.uk/research/research-projects/ai-ethics-and-governance-practice</w:t>
        </w:r>
      </w:hyperlink>
      <w:r w:rsidRPr="0014733B">
        <w:rPr>
          <w:rFonts w:ascii="Aptos" w:eastAsia="Times New Roman" w:hAnsi="Aptos" w:cs="Times New Roman"/>
          <w:sz w:val="24"/>
          <w:szCs w:val="24"/>
          <w:lang w:val="en-US" w:eastAsia="en-GB"/>
        </w:rPr>
        <w:t> </w:t>
      </w:r>
    </w:p>
    <w:p w14:paraId="31350445" w14:textId="77777777" w:rsidR="008E5DDD" w:rsidRPr="003A0DD3" w:rsidRDefault="008E5DDD" w:rsidP="00645164">
      <w:pPr>
        <w:numPr>
          <w:ilvl w:val="0"/>
          <w:numId w:val="20"/>
        </w:numPr>
        <w:spacing w:after="0" w:line="240" w:lineRule="auto"/>
        <w:ind w:left="1080" w:firstLine="0"/>
        <w:jc w:val="left"/>
        <w:textAlignment w:val="baseline"/>
        <w:rPr>
          <w:rFonts w:ascii="Aptos" w:eastAsia="Times New Roman" w:hAnsi="Aptos" w:cs="Times New Roman"/>
          <w:sz w:val="24"/>
          <w:szCs w:val="24"/>
          <w:lang w:eastAsia="en-GB"/>
        </w:rPr>
      </w:pPr>
      <w:r w:rsidRPr="003A0DD3">
        <w:rPr>
          <w:rFonts w:ascii="Aptos" w:eastAsia="Times New Roman" w:hAnsi="Aptos" w:cs="Times New Roman"/>
          <w:sz w:val="24"/>
          <w:szCs w:val="24"/>
          <w:lang w:eastAsia="en-GB"/>
        </w:rPr>
        <w:t xml:space="preserve">AI </w:t>
      </w:r>
      <w:proofErr w:type="spellStart"/>
      <w:r w:rsidRPr="003A0DD3">
        <w:rPr>
          <w:rFonts w:ascii="Aptos" w:eastAsia="Times New Roman" w:hAnsi="Aptos" w:cs="Times New Roman"/>
          <w:sz w:val="24"/>
          <w:szCs w:val="24"/>
          <w:lang w:eastAsia="en-GB"/>
        </w:rPr>
        <w:t>Risk</w:t>
      </w:r>
      <w:proofErr w:type="spellEnd"/>
      <w:r w:rsidRPr="003A0DD3">
        <w:rPr>
          <w:rFonts w:ascii="Aptos" w:eastAsia="Times New Roman" w:hAnsi="Aptos" w:cs="Times New Roman"/>
          <w:sz w:val="24"/>
          <w:szCs w:val="24"/>
          <w:lang w:eastAsia="en-GB"/>
        </w:rPr>
        <w:t xml:space="preserve"> </w:t>
      </w:r>
      <w:proofErr w:type="spellStart"/>
      <w:r w:rsidRPr="003A0DD3">
        <w:rPr>
          <w:rFonts w:ascii="Aptos" w:eastAsia="Times New Roman" w:hAnsi="Aptos" w:cs="Times New Roman"/>
          <w:sz w:val="24"/>
          <w:szCs w:val="24"/>
          <w:lang w:eastAsia="en-GB"/>
        </w:rPr>
        <w:t>Repository</w:t>
      </w:r>
      <w:proofErr w:type="spellEnd"/>
      <w:r w:rsidRPr="003A0DD3">
        <w:rPr>
          <w:rFonts w:ascii="Aptos" w:eastAsia="Times New Roman" w:hAnsi="Aptos" w:cs="Times New Roman"/>
          <w:sz w:val="24"/>
          <w:szCs w:val="24"/>
          <w:lang w:eastAsia="en-GB"/>
        </w:rPr>
        <w:t xml:space="preserve"> (MIT): </w:t>
      </w:r>
      <w:hyperlink r:id="rId41" w:tgtFrame="_blank" w:history="1">
        <w:r w:rsidRPr="003A0DD3">
          <w:rPr>
            <w:rFonts w:ascii="Aptos" w:eastAsia="Times New Roman" w:hAnsi="Aptos" w:cs="Times New Roman"/>
            <w:color w:val="467886"/>
            <w:sz w:val="24"/>
            <w:szCs w:val="24"/>
            <w:u w:val="single"/>
            <w:lang w:eastAsia="en-GB"/>
          </w:rPr>
          <w:t>https://airisk.mit.edu/</w:t>
        </w:r>
      </w:hyperlink>
      <w:r w:rsidRPr="003A0DD3">
        <w:rPr>
          <w:rFonts w:ascii="Aptos" w:eastAsia="Times New Roman" w:hAnsi="Aptos" w:cs="Times New Roman"/>
          <w:sz w:val="24"/>
          <w:szCs w:val="24"/>
          <w:lang w:eastAsia="en-GB"/>
        </w:rPr>
        <w:t>  </w:t>
      </w:r>
    </w:p>
    <w:p w14:paraId="59F19ADD" w14:textId="77777777" w:rsidR="008E5DDD" w:rsidRPr="0014733B" w:rsidRDefault="008E5DDD" w:rsidP="00645164">
      <w:pPr>
        <w:numPr>
          <w:ilvl w:val="0"/>
          <w:numId w:val="21"/>
        </w:numPr>
        <w:spacing w:after="0" w:line="240" w:lineRule="auto"/>
        <w:ind w:left="1080" w:firstLine="0"/>
        <w:jc w:val="left"/>
        <w:textAlignment w:val="baseline"/>
        <w:rPr>
          <w:rFonts w:ascii="Aptos" w:eastAsia="Times New Roman" w:hAnsi="Aptos" w:cs="Times New Roman"/>
          <w:sz w:val="24"/>
          <w:szCs w:val="24"/>
          <w:lang w:val="en-US" w:eastAsia="en-GB"/>
        </w:rPr>
      </w:pPr>
      <w:r w:rsidRPr="0014733B">
        <w:rPr>
          <w:rFonts w:ascii="Aptos" w:eastAsia="Times New Roman" w:hAnsi="Aptos" w:cs="Times New Roman"/>
          <w:sz w:val="24"/>
          <w:szCs w:val="24"/>
          <w:lang w:val="en-US" w:eastAsia="en-GB"/>
        </w:rPr>
        <w:t xml:space="preserve">European Data Protection Board’s AI Auditing project deliverables: </w:t>
      </w:r>
      <w:hyperlink r:id="rId42" w:tgtFrame="_blank" w:history="1">
        <w:r w:rsidRPr="0014733B">
          <w:rPr>
            <w:rFonts w:ascii="Aptos" w:eastAsia="Times New Roman" w:hAnsi="Aptos" w:cs="Times New Roman"/>
            <w:color w:val="467886"/>
            <w:sz w:val="24"/>
            <w:szCs w:val="24"/>
            <w:u w:val="single"/>
            <w:lang w:val="en-US" w:eastAsia="en-GB"/>
          </w:rPr>
          <w:t>https://www.edpb.europa.eu/our-work-tools/our-documents/support-pool-experts-projects/ai-auditing_en</w:t>
        </w:r>
      </w:hyperlink>
      <w:r w:rsidRPr="0014733B">
        <w:rPr>
          <w:rFonts w:ascii="Aptos" w:eastAsia="Times New Roman" w:hAnsi="Aptos" w:cs="Times New Roman"/>
          <w:sz w:val="24"/>
          <w:szCs w:val="24"/>
          <w:lang w:val="en-US" w:eastAsia="en-GB"/>
        </w:rPr>
        <w:t>  </w:t>
      </w:r>
    </w:p>
    <w:p w14:paraId="24CEFB49" w14:textId="77777777" w:rsidR="008E5DDD" w:rsidRPr="0014733B" w:rsidRDefault="008E5DDD" w:rsidP="008E5DDD">
      <w:pPr>
        <w:rPr>
          <w:rFonts w:ascii="Arial" w:eastAsia="Aptos" w:hAnsi="Arial"/>
          <w:kern w:val="2"/>
          <w:sz w:val="24"/>
          <w:szCs w:val="24"/>
          <w:lang w:val="en-US"/>
          <w14:ligatures w14:val="standardContextual"/>
        </w:rPr>
      </w:pPr>
    </w:p>
    <w:p w14:paraId="338AE1AF" w14:textId="77777777" w:rsidR="008E5DDD" w:rsidRPr="0014733B" w:rsidRDefault="008E5DDD" w:rsidP="008E5DDD">
      <w:pPr>
        <w:rPr>
          <w:lang w:val="en-US"/>
        </w:rPr>
      </w:pPr>
    </w:p>
    <w:p w14:paraId="78C23300" w14:textId="67F9CC40" w:rsidR="00784D94" w:rsidRPr="0014733B" w:rsidRDefault="00784D94" w:rsidP="00050301">
      <w:pPr>
        <w:rPr>
          <w:lang w:val="en-US"/>
        </w:rPr>
      </w:pPr>
    </w:p>
    <w:sectPr w:rsidR="00784D94" w:rsidRPr="0014733B" w:rsidSect="00DC0894">
      <w:headerReference w:type="default" r:id="rId43"/>
      <w:footerReference w:type="default" r:id="rId44"/>
      <w:headerReference w:type="first" r:id="rId45"/>
      <w:footerReference w:type="first" r:id="rId46"/>
      <w:pgSz w:w="11906" w:h="16838" w:code="9"/>
      <w:pgMar w:top="1860" w:right="1134" w:bottom="1985"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D785" w14:textId="77777777" w:rsidR="00B307BD" w:rsidRDefault="00B307BD" w:rsidP="00050301">
      <w:r>
        <w:separator/>
      </w:r>
    </w:p>
    <w:p w14:paraId="6141F73C" w14:textId="77777777" w:rsidR="00B307BD" w:rsidRDefault="00B307BD" w:rsidP="00050301"/>
  </w:endnote>
  <w:endnote w:type="continuationSeparator" w:id="0">
    <w:p w14:paraId="0BD629DA" w14:textId="77777777" w:rsidR="00B307BD" w:rsidRDefault="00B307BD" w:rsidP="00050301">
      <w:r>
        <w:continuationSeparator/>
      </w:r>
    </w:p>
    <w:p w14:paraId="32104B9D" w14:textId="77777777" w:rsidR="00B307BD" w:rsidRDefault="00B307BD" w:rsidP="00050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FCAF" w14:textId="7A8B3D3C" w:rsidR="008E5DDD" w:rsidRPr="00CF419E" w:rsidRDefault="00A91DE7" w:rsidP="007D0B64">
    <w:pPr>
      <w:pStyle w:val="Footer"/>
    </w:pPr>
    <w:r>
      <w:t>Fasilitaattorin nimi</w:t>
    </w:r>
  </w:p>
  <w:p w14:paraId="01CADBCC" w14:textId="3D2C2B6B" w:rsidR="008E5DDD" w:rsidRPr="00CF419E" w:rsidRDefault="00A91DE7" w:rsidP="007D0B64">
    <w:pPr>
      <w:pStyle w:val="Footer"/>
    </w:pPr>
    <w:hyperlink r:id="rId1" w:history="1">
      <w:r w:rsidRPr="00845CE9">
        <w:rPr>
          <w:rStyle w:val="Hyperlink"/>
        </w:rPr>
        <w:t>fasilitaattori@malli.fi</w:t>
      </w:r>
    </w:hyperlink>
  </w:p>
  <w:p w14:paraId="010788E4" w14:textId="3855195E" w:rsidR="008E5DDD" w:rsidRPr="00CF419E" w:rsidRDefault="008E5DDD" w:rsidP="00CF419E">
    <w:pPr>
      <w:pStyle w:val="Footer"/>
    </w:pPr>
    <w:r w:rsidRPr="00CF419E">
      <w:t>Puh. 0</w:t>
    </w:r>
    <w:r w:rsidR="00A91DE7">
      <w:t>50-1234567</w:t>
    </w:r>
  </w:p>
  <w:p w14:paraId="6935F435" w14:textId="722804F9" w:rsidR="008E5DDD" w:rsidRPr="00CF419E" w:rsidRDefault="00A91DE7" w:rsidP="007D0B64">
    <w:pPr>
      <w:pStyle w:val="Footer"/>
    </w:pPr>
    <w:r>
      <w:t>Malli Oy</w:t>
    </w:r>
  </w:p>
  <w:p w14:paraId="0526B30C" w14:textId="1C71FD27" w:rsidR="008E5DDD" w:rsidRPr="007D0B64" w:rsidRDefault="00A91DE7" w:rsidP="007D0B64">
    <w:pPr>
      <w:pStyle w:val="Footer"/>
    </w:pPr>
    <w:r>
      <w:t>Verkkosivu</w:t>
    </w:r>
    <w:r w:rsidR="008E5DDD" w:rsidRPr="00CF419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56BD" w14:textId="77777777" w:rsidR="008E5DDD" w:rsidRDefault="008E5DDD" w:rsidP="00B755CA">
    <w:pPr>
      <w:pStyle w:val="Footer"/>
    </w:pPr>
    <w:r>
      <w:t>Katuosoite ja numero</w:t>
    </w:r>
  </w:p>
  <w:p w14:paraId="178B6DF3" w14:textId="77777777" w:rsidR="008E5DDD" w:rsidRDefault="008E5DDD" w:rsidP="00B755CA">
    <w:pPr>
      <w:pStyle w:val="Footer"/>
    </w:pPr>
    <w:r>
      <w:t>Postinumero ja postitoimipaikka</w:t>
    </w:r>
  </w:p>
  <w:p w14:paraId="5B05BC39" w14:textId="77777777" w:rsidR="008E5DDD" w:rsidRDefault="008E5DDD" w:rsidP="00B755CA">
    <w:pPr>
      <w:pStyle w:val="Footer"/>
    </w:pPr>
    <w:r>
      <w:t>Puh. 0123 456 789</w:t>
    </w:r>
  </w:p>
  <w:p w14:paraId="0612B259" w14:textId="77777777" w:rsidR="008E5DDD" w:rsidRPr="00B755CA" w:rsidRDefault="008E5DDD" w:rsidP="00B755CA">
    <w:pPr>
      <w:pStyle w:val="Footer"/>
    </w:pPr>
    <w:r w:rsidRPr="00B755CA">
      <w:t>kirjaamo.tem@gov.fi</w:t>
    </w:r>
    <w:r>
      <w:t xml:space="preserve"> | [www.verkkosivu.fi] | [sähköposti@osoite.fi]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ACEC" w14:textId="77777777" w:rsidR="00B307BD" w:rsidRDefault="00B307BD" w:rsidP="00050301">
      <w:r>
        <w:separator/>
      </w:r>
    </w:p>
    <w:p w14:paraId="2EA59574" w14:textId="77777777" w:rsidR="00B307BD" w:rsidRDefault="00B307BD" w:rsidP="00050301"/>
  </w:footnote>
  <w:footnote w:type="continuationSeparator" w:id="0">
    <w:p w14:paraId="7A9CCA3E" w14:textId="77777777" w:rsidR="00B307BD" w:rsidRDefault="00B307BD" w:rsidP="00050301">
      <w:r>
        <w:continuationSeparator/>
      </w:r>
    </w:p>
    <w:p w14:paraId="6C07A3F5" w14:textId="77777777" w:rsidR="00B307BD" w:rsidRDefault="00B307BD" w:rsidP="00050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ED22" w14:textId="06628283" w:rsidR="008E5DDD" w:rsidRPr="00D17BFB" w:rsidRDefault="00863114" w:rsidP="00A91DE7">
    <w:pPr>
      <w:pStyle w:val="Header"/>
      <w:jc w:val="both"/>
      <w:rPr>
        <w:rStyle w:val="PageNumber"/>
      </w:rPr>
    </w:pPr>
    <w:r>
      <w:rPr>
        <w:noProof/>
      </w:rPr>
      <w:t>LOGO</w:t>
    </w:r>
    <w:r w:rsidR="008E5DDD" w:rsidRPr="003F2176">
      <w:rPr>
        <w:noProof/>
      </w:rPr>
      <mc:AlternateContent>
        <mc:Choice Requires="wps">
          <w:drawing>
            <wp:inline distT="0" distB="0" distL="0" distR="0" wp14:anchorId="08228A24" wp14:editId="36CED9D2">
              <wp:extent cx="304800" cy="304800"/>
              <wp:effectExtent l="0" t="0" r="0" b="0"/>
              <wp:docPr id="483526737" name="Suorakulmi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A003F" id="Suorakulmi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QR9AEAAM4DAAAOAAAAZHJzL2Uyb0RvYy54bWysU9tu2zAMfR+wfxD0vti5tEmNOEXRosOA&#10;bi2Q9QMUWY6FWqJGyXGyrx8lJ1m6vQ17EXjz4eEhvbzdm5btFHoNtuTjUc6ZshIqbbclf/3++GnB&#10;mQ/CVqIFq0p+UJ7frj5+WPauUBNooK0UMgKxvuhdyZsQXJFlXjbKCD8Cpywla0AjArm4zSoUPaGb&#10;Npvk+XXWA1YOQSrvKfowJPkq4de1kuG5rr0KrC05cQvpxfRu4putlqLYonCNlkca4h9YGKEtNT1D&#10;PYggWIf6LyijJYKHOowkmAzqWkuVZqBpxvkf06wb4VSahcTx7iyT/3+w8tvuBZmuSj5bTK8m1/Pp&#10;nDMrDK1q3QGKt641Gtg0CtU7X1D92r1gHNW7J5Bvnlm4b4TdqjvvSG46AgI4hRChb5SoiPE4QmTv&#10;MKLjCY1t+q9QUUvRBUgy7ms0sQcJxPZpW4fzttQ+MEnBaT5b5LRTSamjHTuI4vSxQx8+KzAsGiVH&#10;YpfAxe7Jh6H0VBJ7WXjUbUtxUbT2XYAwYySRj3wHKTZQHYg7wnBU9BOQ0QD+5Kyngyq5/9EJVJy1&#10;XyzNfzOezeIFJmd2NZ+Qg5eZzWVGWElQJQ+cDeZ9GK62c6i3TZJ54HhHmtU6zRP1HFgdydLRJEWO&#10;Bx6v8tJPVb9/w9U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waJBH0AQAAzgMAAA4AAAAAAAAAAAAAAAAALgIAAGRycy9lMm9E&#10;b2MueG1sUEsBAi0AFAAGAAgAAAAhAEyg6SzYAAAAAwEAAA8AAAAAAAAAAAAAAAAATgQAAGRycy9k&#10;b3ducmV2LnhtbFBLBQYAAAAABAAEAPMAAABTBQAAAAA=&#10;" filled="f" stroked="f">
              <o:lock v:ext="edit" aspectratio="t"/>
              <w10:anchorlock/>
            </v:rect>
          </w:pict>
        </mc:Fallback>
      </mc:AlternateContent>
    </w:r>
    <w:r w:rsidR="008E5DDD" w:rsidRPr="4FF4FE9B">
      <w:t xml:space="preserve"> </w:t>
    </w:r>
    <w:r w:rsidR="008E5DDD" w:rsidRPr="003F2176">
      <w:rPr>
        <w:noProof/>
      </w:rPr>
      <mc:AlternateContent>
        <mc:Choice Requires="wps">
          <w:drawing>
            <wp:inline distT="0" distB="0" distL="0" distR="0" wp14:anchorId="01606726" wp14:editId="7AAD4097">
              <wp:extent cx="304800" cy="304800"/>
              <wp:effectExtent l="0" t="0" r="0" b="0"/>
              <wp:docPr id="2026985956" name="Suorakulmi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a="http://schemas.openxmlformats.org/drawingml/2006/main" xmlns:adec="http://schemas.microsoft.com/office/drawing/2017/decorative" xmlns:pic="http://schemas.openxmlformats.org/drawingml/2006/picture" xmlns:a14="http://schemas.microsoft.com/office/drawing/2010/main">
          <w:pict>
            <v:rect id="Suorakulmio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A725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8E5DDD" w:rsidRPr="00B67051">
      <w:rPr>
        <w:noProof/>
      </w:rPr>
      <w:drawing>
        <wp:anchor distT="0" distB="0" distL="114300" distR="114300" simplePos="0" relativeHeight="251673600" behindDoc="1" locked="0" layoutInCell="1" allowOverlap="1" wp14:anchorId="0B0E7C72" wp14:editId="45C8E97F">
          <wp:simplePos x="0" y="0"/>
          <wp:positionH relativeFrom="page">
            <wp:posOffset>4467860</wp:posOffset>
          </wp:positionH>
          <wp:positionV relativeFrom="page">
            <wp:posOffset>450215</wp:posOffset>
          </wp:positionV>
          <wp:extent cx="2030400" cy="4248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1">
                    <a:extLst>
                      <a:ext uri="{28A0092B-C50C-407E-A947-70E740481C1C}">
                        <a14:useLocalDpi xmlns:a14="http://schemas.microsoft.com/office/drawing/2010/main" val="0"/>
                      </a:ext>
                    </a:extLst>
                  </a:blip>
                  <a:stretch>
                    <a:fillRect/>
                  </a:stretch>
                </pic:blipFill>
                <pic:spPr>
                  <a:xfrm>
                    <a:off x="0" y="0"/>
                    <a:ext cx="2030400" cy="42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374A" w14:textId="77777777" w:rsidR="008E5DDD" w:rsidRPr="00D17BFB" w:rsidRDefault="008E5DDD" w:rsidP="00050301">
    <w:pPr>
      <w:pStyle w:val="Header"/>
      <w:rPr>
        <w:rStyle w:val="PageNumber"/>
      </w:rPr>
    </w:pPr>
    <w:r>
      <w:rPr>
        <w:noProof/>
      </w:rPr>
      <w:drawing>
        <wp:anchor distT="0" distB="0" distL="114300" distR="114300" simplePos="0" relativeHeight="251671552" behindDoc="1" locked="0" layoutInCell="1" allowOverlap="1" wp14:anchorId="47B27CEF" wp14:editId="256FC7D3">
          <wp:simplePos x="0" y="0"/>
          <wp:positionH relativeFrom="page">
            <wp:posOffset>720090</wp:posOffset>
          </wp:positionH>
          <wp:positionV relativeFrom="page">
            <wp:posOffset>406400</wp:posOffset>
          </wp:positionV>
          <wp:extent cx="1497600" cy="500400"/>
          <wp:effectExtent l="0" t="0" r="762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7600" cy="500400"/>
                  </a:xfrm>
                  <a:prstGeom prst="rect">
                    <a:avLst/>
                  </a:prstGeom>
                </pic:spPr>
              </pic:pic>
            </a:graphicData>
          </a:graphic>
          <wp14:sizeRelH relativeFrom="margin">
            <wp14:pctWidth>0</wp14:pctWidth>
          </wp14:sizeRelH>
          <wp14:sizeRelV relativeFrom="margin">
            <wp14:pctHeight>0</wp14:pctHeight>
          </wp14:sizeRelV>
        </wp:anchor>
      </w:drawing>
    </w:r>
    <w:r w:rsidRPr="00D17BFB">
      <w:rPr>
        <w:rStyle w:val="PageNumber"/>
      </w:rPr>
      <w:fldChar w:fldCharType="begin"/>
    </w:r>
    <w:r w:rsidRPr="00D17BFB">
      <w:rPr>
        <w:rStyle w:val="PageNumber"/>
      </w:rPr>
      <w:instrText>PAGE</w:instrText>
    </w:r>
    <w:r w:rsidRPr="00D17BFB">
      <w:rPr>
        <w:rStyle w:val="PageNumber"/>
      </w:rPr>
      <w:fldChar w:fldCharType="separate"/>
    </w:r>
    <w:r>
      <w:rPr>
        <w:rStyle w:val="PageNumber"/>
      </w:rPr>
      <w:t>1</w:t>
    </w:r>
    <w:r w:rsidRPr="00D17BFB">
      <w:rPr>
        <w:rStyle w:val="PageNumber"/>
      </w:rPr>
      <w:fldChar w:fldCharType="end"/>
    </w:r>
    <w:r w:rsidRPr="00B67051">
      <w:rPr>
        <w:noProof/>
      </w:rPr>
      <w:drawing>
        <wp:anchor distT="0" distB="0" distL="114300" distR="114300" simplePos="0" relativeHeight="251668480" behindDoc="1" locked="0" layoutInCell="1" allowOverlap="1" wp14:anchorId="4C51ABD0" wp14:editId="7439334F">
          <wp:simplePos x="0" y="0"/>
          <wp:positionH relativeFrom="page">
            <wp:posOffset>4467860</wp:posOffset>
          </wp:positionH>
          <wp:positionV relativeFrom="page">
            <wp:posOffset>450215</wp:posOffset>
          </wp:positionV>
          <wp:extent cx="2030400" cy="4248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2">
                    <a:extLst>
                      <a:ext uri="{28A0092B-C50C-407E-A947-70E740481C1C}">
                        <a14:useLocalDpi xmlns:a14="http://schemas.microsoft.com/office/drawing/2010/main" val="0"/>
                      </a:ext>
                    </a:extLst>
                  </a:blip>
                  <a:stretch>
                    <a:fillRect/>
                  </a:stretch>
                </pic:blipFill>
                <pic:spPr>
                  <a:xfrm>
                    <a:off x="0" y="0"/>
                    <a:ext cx="2030400" cy="42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E31"/>
    <w:multiLevelType w:val="multilevel"/>
    <w:tmpl w:val="15F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A4A25"/>
    <w:multiLevelType w:val="multilevel"/>
    <w:tmpl w:val="717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A5BBD"/>
    <w:multiLevelType w:val="hybridMultilevel"/>
    <w:tmpl w:val="2AE27316"/>
    <w:lvl w:ilvl="0" w:tplc="C13A7312">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B3B6B"/>
    <w:multiLevelType w:val="hybridMultilevel"/>
    <w:tmpl w:val="4EA22C74"/>
    <w:lvl w:ilvl="0" w:tplc="C42EB12A">
      <w:start w:val="1"/>
      <w:numFmt w:val="upp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022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60729A"/>
    <w:multiLevelType w:val="hybridMultilevel"/>
    <w:tmpl w:val="B4FE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7011F"/>
    <w:multiLevelType w:val="multilevel"/>
    <w:tmpl w:val="78F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895E1C"/>
    <w:multiLevelType w:val="hybridMultilevel"/>
    <w:tmpl w:val="80C69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174EB"/>
    <w:multiLevelType w:val="multilevel"/>
    <w:tmpl w:val="3670EE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B4427"/>
    <w:multiLevelType w:val="hybridMultilevel"/>
    <w:tmpl w:val="973AF8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421D94"/>
    <w:multiLevelType w:val="multilevel"/>
    <w:tmpl w:val="F28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C4C4B"/>
    <w:multiLevelType w:val="multilevel"/>
    <w:tmpl w:val="3670EE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3"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4" w15:restartNumberingAfterBreak="0">
    <w:nsid w:val="4FC6288A"/>
    <w:multiLevelType w:val="hybridMultilevel"/>
    <w:tmpl w:val="F5D8E122"/>
    <w:lvl w:ilvl="0" w:tplc="05528EC0">
      <w:start w:val="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FB6853"/>
    <w:multiLevelType w:val="hybridMultilevel"/>
    <w:tmpl w:val="60A4F3F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3032E"/>
    <w:multiLevelType w:val="hybridMultilevel"/>
    <w:tmpl w:val="6EF2A83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B5E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7001DB"/>
    <w:multiLevelType w:val="hybridMultilevel"/>
    <w:tmpl w:val="CD7E02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16ADA"/>
    <w:multiLevelType w:val="multilevel"/>
    <w:tmpl w:val="EE16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13"/>
  </w:num>
  <w:num w:numId="3">
    <w:abstractNumId w:val="20"/>
  </w:num>
  <w:num w:numId="4">
    <w:abstractNumId w:val="9"/>
  </w:num>
  <w:num w:numId="5">
    <w:abstractNumId w:val="16"/>
  </w:num>
  <w:num w:numId="6">
    <w:abstractNumId w:val="8"/>
  </w:num>
  <w:num w:numId="7">
    <w:abstractNumId w:val="11"/>
  </w:num>
  <w:num w:numId="8">
    <w:abstractNumId w:val="15"/>
  </w:num>
  <w:num w:numId="9">
    <w:abstractNumId w:val="18"/>
  </w:num>
  <w:num w:numId="10">
    <w:abstractNumId w:val="2"/>
  </w:num>
  <w:num w:numId="11">
    <w:abstractNumId w:val="7"/>
  </w:num>
  <w:num w:numId="12">
    <w:abstractNumId w:val="3"/>
  </w:num>
  <w:num w:numId="13">
    <w:abstractNumId w:val="5"/>
  </w:num>
  <w:num w:numId="14">
    <w:abstractNumId w:val="4"/>
  </w:num>
  <w:num w:numId="15">
    <w:abstractNumId w:val="17"/>
  </w:num>
  <w:num w:numId="16">
    <w:abstractNumId w:val="14"/>
  </w:num>
  <w:num w:numId="17">
    <w:abstractNumId w:val="6"/>
  </w:num>
  <w:num w:numId="18">
    <w:abstractNumId w:val="0"/>
  </w:num>
  <w:num w:numId="19">
    <w:abstractNumId w:val="19"/>
  </w:num>
  <w:num w:numId="20">
    <w:abstractNumId w:val="10"/>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1"/>
    <w:rsid w:val="00004A1C"/>
    <w:rsid w:val="000058ED"/>
    <w:rsid w:val="000070D0"/>
    <w:rsid w:val="00032ADC"/>
    <w:rsid w:val="00033395"/>
    <w:rsid w:val="00042335"/>
    <w:rsid w:val="00043B13"/>
    <w:rsid w:val="00047B49"/>
    <w:rsid w:val="00050301"/>
    <w:rsid w:val="00060524"/>
    <w:rsid w:val="000639CC"/>
    <w:rsid w:val="00064BA3"/>
    <w:rsid w:val="00071632"/>
    <w:rsid w:val="00074D1C"/>
    <w:rsid w:val="00086208"/>
    <w:rsid w:val="0008650E"/>
    <w:rsid w:val="00093CBF"/>
    <w:rsid w:val="000C3BE9"/>
    <w:rsid w:val="000C5F81"/>
    <w:rsid w:val="000C7201"/>
    <w:rsid w:val="000C7E8C"/>
    <w:rsid w:val="000D20DF"/>
    <w:rsid w:val="000E4597"/>
    <w:rsid w:val="000F4350"/>
    <w:rsid w:val="00117BC3"/>
    <w:rsid w:val="00117F9C"/>
    <w:rsid w:val="001242C6"/>
    <w:rsid w:val="00125124"/>
    <w:rsid w:val="00130328"/>
    <w:rsid w:val="0013360B"/>
    <w:rsid w:val="0014405D"/>
    <w:rsid w:val="0014733B"/>
    <w:rsid w:val="00151CF2"/>
    <w:rsid w:val="00167DCA"/>
    <w:rsid w:val="001703FE"/>
    <w:rsid w:val="001801A7"/>
    <w:rsid w:val="00194C18"/>
    <w:rsid w:val="00195851"/>
    <w:rsid w:val="001A5CD7"/>
    <w:rsid w:val="001A6268"/>
    <w:rsid w:val="001B2BAA"/>
    <w:rsid w:val="001B3DFA"/>
    <w:rsid w:val="001B5CF2"/>
    <w:rsid w:val="001C40CB"/>
    <w:rsid w:val="001E4434"/>
    <w:rsid w:val="001F1F64"/>
    <w:rsid w:val="001F6EB7"/>
    <w:rsid w:val="00201C58"/>
    <w:rsid w:val="00206450"/>
    <w:rsid w:val="00211D88"/>
    <w:rsid w:val="0022111F"/>
    <w:rsid w:val="002243A3"/>
    <w:rsid w:val="002266BC"/>
    <w:rsid w:val="002308B3"/>
    <w:rsid w:val="002742FA"/>
    <w:rsid w:val="00287385"/>
    <w:rsid w:val="002A3A3D"/>
    <w:rsid w:val="002B6ACD"/>
    <w:rsid w:val="002D53CE"/>
    <w:rsid w:val="0030309C"/>
    <w:rsid w:val="00311193"/>
    <w:rsid w:val="0031154F"/>
    <w:rsid w:val="00313BCB"/>
    <w:rsid w:val="00317AA4"/>
    <w:rsid w:val="00345DE7"/>
    <w:rsid w:val="00350642"/>
    <w:rsid w:val="00351C7F"/>
    <w:rsid w:val="00356779"/>
    <w:rsid w:val="00356EAC"/>
    <w:rsid w:val="003606BB"/>
    <w:rsid w:val="00371133"/>
    <w:rsid w:val="003804DC"/>
    <w:rsid w:val="00387F7C"/>
    <w:rsid w:val="003A0DD3"/>
    <w:rsid w:val="003A34B9"/>
    <w:rsid w:val="003B7DD9"/>
    <w:rsid w:val="003C19EE"/>
    <w:rsid w:val="003D1893"/>
    <w:rsid w:val="003D1A14"/>
    <w:rsid w:val="003D3265"/>
    <w:rsid w:val="003D4166"/>
    <w:rsid w:val="003D69A7"/>
    <w:rsid w:val="003D70A7"/>
    <w:rsid w:val="003E0879"/>
    <w:rsid w:val="003E10EB"/>
    <w:rsid w:val="003E4D8E"/>
    <w:rsid w:val="003F2176"/>
    <w:rsid w:val="003F4A60"/>
    <w:rsid w:val="004145E6"/>
    <w:rsid w:val="00420D16"/>
    <w:rsid w:val="00427621"/>
    <w:rsid w:val="0043147A"/>
    <w:rsid w:val="00434F82"/>
    <w:rsid w:val="00437D93"/>
    <w:rsid w:val="004557A8"/>
    <w:rsid w:val="00456474"/>
    <w:rsid w:val="0045661C"/>
    <w:rsid w:val="00464F28"/>
    <w:rsid w:val="00467805"/>
    <w:rsid w:val="0047520D"/>
    <w:rsid w:val="00484774"/>
    <w:rsid w:val="004A0AEA"/>
    <w:rsid w:val="004A1550"/>
    <w:rsid w:val="004A5BC6"/>
    <w:rsid w:val="004B1C79"/>
    <w:rsid w:val="004B209D"/>
    <w:rsid w:val="004E0630"/>
    <w:rsid w:val="004E4251"/>
    <w:rsid w:val="004F2E74"/>
    <w:rsid w:val="004F4BAA"/>
    <w:rsid w:val="004F6B0C"/>
    <w:rsid w:val="00511BE5"/>
    <w:rsid w:val="00517E51"/>
    <w:rsid w:val="00525DC0"/>
    <w:rsid w:val="00527C91"/>
    <w:rsid w:val="0054267A"/>
    <w:rsid w:val="00542CD9"/>
    <w:rsid w:val="005822B7"/>
    <w:rsid w:val="00583AD4"/>
    <w:rsid w:val="005B7196"/>
    <w:rsid w:val="005C3F0C"/>
    <w:rsid w:val="005E48EA"/>
    <w:rsid w:val="00601D7D"/>
    <w:rsid w:val="00605ACB"/>
    <w:rsid w:val="0060724A"/>
    <w:rsid w:val="00612226"/>
    <w:rsid w:val="00645164"/>
    <w:rsid w:val="00653706"/>
    <w:rsid w:val="006638CF"/>
    <w:rsid w:val="00670113"/>
    <w:rsid w:val="006739FF"/>
    <w:rsid w:val="00681A2C"/>
    <w:rsid w:val="006A19EB"/>
    <w:rsid w:val="006B2C10"/>
    <w:rsid w:val="006B426D"/>
    <w:rsid w:val="006D657D"/>
    <w:rsid w:val="006D6722"/>
    <w:rsid w:val="006E0F3C"/>
    <w:rsid w:val="006F36F8"/>
    <w:rsid w:val="007032C1"/>
    <w:rsid w:val="00714450"/>
    <w:rsid w:val="0073191E"/>
    <w:rsid w:val="0073713A"/>
    <w:rsid w:val="00740893"/>
    <w:rsid w:val="00760947"/>
    <w:rsid w:val="007632A7"/>
    <w:rsid w:val="007727E6"/>
    <w:rsid w:val="0077746A"/>
    <w:rsid w:val="00784D94"/>
    <w:rsid w:val="007A54E0"/>
    <w:rsid w:val="007A77BC"/>
    <w:rsid w:val="007B7495"/>
    <w:rsid w:val="007C7C4F"/>
    <w:rsid w:val="007D0B64"/>
    <w:rsid w:val="007F6617"/>
    <w:rsid w:val="00802437"/>
    <w:rsid w:val="0080351B"/>
    <w:rsid w:val="008217E2"/>
    <w:rsid w:val="00830601"/>
    <w:rsid w:val="00843BF7"/>
    <w:rsid w:val="00860E8C"/>
    <w:rsid w:val="00863114"/>
    <w:rsid w:val="00876CF1"/>
    <w:rsid w:val="0088070B"/>
    <w:rsid w:val="00880A75"/>
    <w:rsid w:val="00882312"/>
    <w:rsid w:val="008832FB"/>
    <w:rsid w:val="00893F7D"/>
    <w:rsid w:val="008B1667"/>
    <w:rsid w:val="008B603C"/>
    <w:rsid w:val="008E5DDD"/>
    <w:rsid w:val="008E5DF6"/>
    <w:rsid w:val="008E71FB"/>
    <w:rsid w:val="008F0DD8"/>
    <w:rsid w:val="008F78F1"/>
    <w:rsid w:val="00906B23"/>
    <w:rsid w:val="00920BDD"/>
    <w:rsid w:val="00920D1C"/>
    <w:rsid w:val="00925176"/>
    <w:rsid w:val="009331B5"/>
    <w:rsid w:val="009419A6"/>
    <w:rsid w:val="00962C64"/>
    <w:rsid w:val="00967360"/>
    <w:rsid w:val="00987BE1"/>
    <w:rsid w:val="00993533"/>
    <w:rsid w:val="009939B4"/>
    <w:rsid w:val="0099556F"/>
    <w:rsid w:val="009978C4"/>
    <w:rsid w:val="009B00F8"/>
    <w:rsid w:val="009C4CA5"/>
    <w:rsid w:val="009C7511"/>
    <w:rsid w:val="009D7BB0"/>
    <w:rsid w:val="009E3D1F"/>
    <w:rsid w:val="009E40DA"/>
    <w:rsid w:val="00A01F8D"/>
    <w:rsid w:val="00A0715C"/>
    <w:rsid w:val="00A1356B"/>
    <w:rsid w:val="00A139D0"/>
    <w:rsid w:val="00A3260C"/>
    <w:rsid w:val="00A40ED0"/>
    <w:rsid w:val="00A4491B"/>
    <w:rsid w:val="00A50B0A"/>
    <w:rsid w:val="00A65357"/>
    <w:rsid w:val="00A71532"/>
    <w:rsid w:val="00A91D48"/>
    <w:rsid w:val="00A91DE7"/>
    <w:rsid w:val="00A961CB"/>
    <w:rsid w:val="00AA4F7B"/>
    <w:rsid w:val="00AB124A"/>
    <w:rsid w:val="00AB3675"/>
    <w:rsid w:val="00AC7BC5"/>
    <w:rsid w:val="00AD043D"/>
    <w:rsid w:val="00AE3F35"/>
    <w:rsid w:val="00AF26BA"/>
    <w:rsid w:val="00AF69EA"/>
    <w:rsid w:val="00B06142"/>
    <w:rsid w:val="00B0745C"/>
    <w:rsid w:val="00B0762E"/>
    <w:rsid w:val="00B14070"/>
    <w:rsid w:val="00B307BD"/>
    <w:rsid w:val="00B361BA"/>
    <w:rsid w:val="00B36728"/>
    <w:rsid w:val="00B47A21"/>
    <w:rsid w:val="00B755CA"/>
    <w:rsid w:val="00BA7BA5"/>
    <w:rsid w:val="00BB1B52"/>
    <w:rsid w:val="00BC100F"/>
    <w:rsid w:val="00BC768D"/>
    <w:rsid w:val="00BD4123"/>
    <w:rsid w:val="00BF430D"/>
    <w:rsid w:val="00C10165"/>
    <w:rsid w:val="00C1070E"/>
    <w:rsid w:val="00C164B8"/>
    <w:rsid w:val="00C17B74"/>
    <w:rsid w:val="00C2018C"/>
    <w:rsid w:val="00C2055F"/>
    <w:rsid w:val="00C23806"/>
    <w:rsid w:val="00C257FC"/>
    <w:rsid w:val="00C455E4"/>
    <w:rsid w:val="00C46D72"/>
    <w:rsid w:val="00C479A0"/>
    <w:rsid w:val="00C504E6"/>
    <w:rsid w:val="00C51011"/>
    <w:rsid w:val="00C56D47"/>
    <w:rsid w:val="00C635DE"/>
    <w:rsid w:val="00C71063"/>
    <w:rsid w:val="00C7265B"/>
    <w:rsid w:val="00C72946"/>
    <w:rsid w:val="00C743E5"/>
    <w:rsid w:val="00C77D13"/>
    <w:rsid w:val="00C8584F"/>
    <w:rsid w:val="00C85D1C"/>
    <w:rsid w:val="00CA0EED"/>
    <w:rsid w:val="00CB11A6"/>
    <w:rsid w:val="00CE6B6F"/>
    <w:rsid w:val="00CF347E"/>
    <w:rsid w:val="00CF419E"/>
    <w:rsid w:val="00D07AB2"/>
    <w:rsid w:val="00D10868"/>
    <w:rsid w:val="00D17BFB"/>
    <w:rsid w:val="00D32DA0"/>
    <w:rsid w:val="00D41A7E"/>
    <w:rsid w:val="00D43B00"/>
    <w:rsid w:val="00D51F5E"/>
    <w:rsid w:val="00D67C9F"/>
    <w:rsid w:val="00D724D2"/>
    <w:rsid w:val="00D72A44"/>
    <w:rsid w:val="00D74B23"/>
    <w:rsid w:val="00D84A52"/>
    <w:rsid w:val="00DA3383"/>
    <w:rsid w:val="00DC0894"/>
    <w:rsid w:val="00DC1819"/>
    <w:rsid w:val="00DD1C72"/>
    <w:rsid w:val="00DD3BA1"/>
    <w:rsid w:val="00DD3DAD"/>
    <w:rsid w:val="00DD632A"/>
    <w:rsid w:val="00DF4DC8"/>
    <w:rsid w:val="00DF5FF8"/>
    <w:rsid w:val="00E05681"/>
    <w:rsid w:val="00E178BA"/>
    <w:rsid w:val="00E20CFE"/>
    <w:rsid w:val="00E268A5"/>
    <w:rsid w:val="00E26F61"/>
    <w:rsid w:val="00E3047C"/>
    <w:rsid w:val="00E31451"/>
    <w:rsid w:val="00E7293B"/>
    <w:rsid w:val="00E7785A"/>
    <w:rsid w:val="00E80176"/>
    <w:rsid w:val="00E80525"/>
    <w:rsid w:val="00E81F28"/>
    <w:rsid w:val="00E83753"/>
    <w:rsid w:val="00EA1A41"/>
    <w:rsid w:val="00EB2096"/>
    <w:rsid w:val="00EB2C37"/>
    <w:rsid w:val="00EB3F49"/>
    <w:rsid w:val="00EE009F"/>
    <w:rsid w:val="00EE326A"/>
    <w:rsid w:val="00EE513F"/>
    <w:rsid w:val="00EF0C24"/>
    <w:rsid w:val="00EF7807"/>
    <w:rsid w:val="00F110B7"/>
    <w:rsid w:val="00F1568B"/>
    <w:rsid w:val="00F21D78"/>
    <w:rsid w:val="00F40EEB"/>
    <w:rsid w:val="00F424AD"/>
    <w:rsid w:val="00F445A3"/>
    <w:rsid w:val="00F54179"/>
    <w:rsid w:val="00F91205"/>
    <w:rsid w:val="00F92DDB"/>
    <w:rsid w:val="00FA52E3"/>
    <w:rsid w:val="00FA5E7C"/>
    <w:rsid w:val="00FC241F"/>
    <w:rsid w:val="00FD5671"/>
    <w:rsid w:val="00FD70A1"/>
    <w:rsid w:val="00FE697A"/>
    <w:rsid w:val="4FF4FE9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7D10"/>
  <w15:docId w15:val="{D2FEC572-F9F2-4C1A-ABA1-28F1453A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301"/>
    <w:pPr>
      <w:spacing w:after="160" w:line="259" w:lineRule="auto"/>
      <w:jc w:val="both"/>
    </w:pPr>
    <w:rPr>
      <w:rFonts w:ascii="Calibri" w:eastAsia="Calibri" w:hAnsi="Calibri" w:cs="Arial"/>
    </w:rPr>
  </w:style>
  <w:style w:type="paragraph" w:styleId="Heading1">
    <w:name w:val="heading 1"/>
    <w:basedOn w:val="Normal"/>
    <w:next w:val="BodyText"/>
    <w:link w:val="Heading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Heading2">
    <w:name w:val="heading 2"/>
    <w:basedOn w:val="Normal"/>
    <w:next w:val="BodyText"/>
    <w:link w:val="Heading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Heading3">
    <w:name w:val="heading 3"/>
    <w:basedOn w:val="Heading2"/>
    <w:next w:val="BodyText"/>
    <w:link w:val="Heading3Char"/>
    <w:uiPriority w:val="14"/>
    <w:qFormat/>
    <w:rsid w:val="00356EAC"/>
    <w:pPr>
      <w:numPr>
        <w:ilvl w:val="2"/>
      </w:numPr>
      <w:spacing w:before="240" w:after="160"/>
      <w:outlineLvl w:val="2"/>
    </w:pPr>
    <w:rPr>
      <w:rFonts w:cstheme="majorBidi"/>
      <w:bCs w:val="0"/>
      <w:sz w:val="24"/>
    </w:rPr>
  </w:style>
  <w:style w:type="paragraph" w:styleId="Heading4">
    <w:name w:val="heading 4"/>
    <w:basedOn w:val="Heading2"/>
    <w:next w:val="BodyText"/>
    <w:link w:val="Heading4Char"/>
    <w:uiPriority w:val="14"/>
    <w:qFormat/>
    <w:rsid w:val="00356EAC"/>
    <w:pPr>
      <w:numPr>
        <w:ilvl w:val="3"/>
      </w:numPr>
      <w:spacing w:after="160"/>
      <w:outlineLvl w:val="3"/>
    </w:pPr>
    <w:rPr>
      <w:rFonts w:cstheme="majorBidi"/>
      <w:bCs w:val="0"/>
      <w:i/>
      <w:iCs/>
      <w:sz w:val="25"/>
    </w:rPr>
  </w:style>
  <w:style w:type="paragraph" w:styleId="Heading5">
    <w:name w:val="heading 5"/>
    <w:basedOn w:val="Heading4"/>
    <w:next w:val="BodyText"/>
    <w:link w:val="Heading5Char"/>
    <w:uiPriority w:val="14"/>
    <w:qFormat/>
    <w:rsid w:val="00086208"/>
    <w:pPr>
      <w:numPr>
        <w:ilvl w:val="4"/>
      </w:numPr>
      <w:outlineLvl w:val="4"/>
    </w:pPr>
    <w:rPr>
      <w:b w:val="0"/>
    </w:rPr>
  </w:style>
  <w:style w:type="paragraph" w:styleId="Heading6">
    <w:name w:val="heading 6"/>
    <w:basedOn w:val="Normal"/>
    <w:next w:val="BodyText"/>
    <w:link w:val="Heading6Char"/>
    <w:uiPriority w:val="14"/>
    <w:semiHidden/>
    <w:rsid w:val="0045661C"/>
    <w:pPr>
      <w:keepNext/>
      <w:keepLines/>
      <w:numPr>
        <w:ilvl w:val="5"/>
        <w:numId w:val="1"/>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1"/>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1"/>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5C3F0C"/>
    <w:rPr>
      <w:rFonts w:asciiTheme="majorHAnsi" w:eastAsiaTheme="majorEastAsia" w:hAnsiTheme="majorHAnsi" w:cstheme="majorHAnsi"/>
      <w:b/>
      <w:bCs/>
      <w:sz w:val="36"/>
      <w:szCs w:val="28"/>
    </w:rPr>
  </w:style>
  <w:style w:type="paragraph" w:styleId="Header">
    <w:name w:val="header"/>
    <w:basedOn w:val="Normal"/>
    <w:link w:val="HeaderChar"/>
    <w:uiPriority w:val="94"/>
    <w:rsid w:val="008B603C"/>
    <w:pPr>
      <w:jc w:val="right"/>
    </w:pPr>
    <w:rPr>
      <w:sz w:val="20"/>
    </w:rPr>
  </w:style>
  <w:style w:type="paragraph" w:styleId="BodyText">
    <w:name w:val="Body Text"/>
    <w:basedOn w:val="Normal"/>
    <w:link w:val="BodyTextChar"/>
    <w:uiPriority w:val="1"/>
    <w:qFormat/>
    <w:rsid w:val="008832FB"/>
  </w:style>
  <w:style w:type="character" w:customStyle="1" w:styleId="BodyTextChar">
    <w:name w:val="Body Text Char"/>
    <w:basedOn w:val="DefaultParagraphFont"/>
    <w:link w:val="BodyText"/>
    <w:uiPriority w:val="1"/>
    <w:rsid w:val="008832FB"/>
    <w:rPr>
      <w:sz w:val="21"/>
    </w:rPr>
  </w:style>
  <w:style w:type="character" w:customStyle="1" w:styleId="HeaderChar">
    <w:name w:val="Header Char"/>
    <w:basedOn w:val="DefaultParagraphFont"/>
    <w:link w:val="Header"/>
    <w:uiPriority w:val="94"/>
    <w:rsid w:val="008B603C"/>
    <w:rPr>
      <w:sz w:val="20"/>
    </w:rPr>
  </w:style>
  <w:style w:type="paragraph" w:styleId="Footer">
    <w:name w:val="footer"/>
    <w:link w:val="FooterChar"/>
    <w:uiPriority w:val="94"/>
    <w:rsid w:val="00D17BFB"/>
    <w:pPr>
      <w:tabs>
        <w:tab w:val="left" w:pos="2359"/>
        <w:tab w:val="left" w:pos="4717"/>
        <w:tab w:val="left" w:pos="7371"/>
      </w:tabs>
    </w:pPr>
    <w:rPr>
      <w:noProof/>
      <w:sz w:val="18"/>
    </w:rPr>
  </w:style>
  <w:style w:type="character" w:customStyle="1" w:styleId="FooterChar">
    <w:name w:val="Footer Char"/>
    <w:basedOn w:val="DefaultParagraphFont"/>
    <w:link w:val="Footer"/>
    <w:uiPriority w:val="94"/>
    <w:rsid w:val="00D17BFB"/>
    <w:rPr>
      <w:noProof/>
      <w:sz w:val="18"/>
    </w:rPr>
  </w:style>
  <w:style w:type="paragraph" w:styleId="Title">
    <w:name w:val="Title"/>
    <w:basedOn w:val="Normal"/>
    <w:link w:val="Title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TitleChar">
    <w:name w:val="Title Char"/>
    <w:basedOn w:val="DefaultParagraphFont"/>
    <w:link w:val="Title"/>
    <w:uiPriority w:val="10"/>
    <w:rsid w:val="005C3F0C"/>
    <w:rPr>
      <w:rFonts w:asciiTheme="majorHAnsi" w:eastAsiaTheme="majorEastAsia" w:hAnsiTheme="majorHAnsi" w:cstheme="majorHAnsi"/>
      <w:b/>
      <w:kern w:val="28"/>
      <w:sz w:val="96"/>
      <w:szCs w:val="52"/>
    </w:rPr>
  </w:style>
  <w:style w:type="character" w:customStyle="1" w:styleId="Heading2Char">
    <w:name w:val="Heading 2 Char"/>
    <w:basedOn w:val="DefaultParagraphFont"/>
    <w:link w:val="Heading2"/>
    <w:uiPriority w:val="14"/>
    <w:rsid w:val="00EB2096"/>
    <w:rPr>
      <w:rFonts w:asciiTheme="majorHAnsi" w:eastAsiaTheme="majorEastAsia" w:hAnsiTheme="majorHAnsi" w:cstheme="majorHAnsi"/>
      <w:b/>
      <w:bCs/>
      <w:sz w:val="28"/>
      <w:szCs w:val="26"/>
    </w:rPr>
  </w:style>
  <w:style w:type="paragraph" w:styleId="Subtitle">
    <w:name w:val="Subtitle"/>
    <w:basedOn w:val="Normal"/>
    <w:next w:val="BodyText"/>
    <w:link w:val="Subtitle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SubtitleChar">
    <w:name w:val="Subtitle Char"/>
    <w:basedOn w:val="DefaultParagraphFont"/>
    <w:link w:val="Subtitle"/>
    <w:uiPriority w:val="11"/>
    <w:rsid w:val="00740893"/>
    <w:rPr>
      <w:rFonts w:asciiTheme="majorHAnsi" w:eastAsiaTheme="majorEastAsia" w:hAnsiTheme="majorHAnsi" w:cstheme="majorHAnsi"/>
      <w:iCs/>
      <w:sz w:val="44"/>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rsid w:val="00356EAC"/>
    <w:rPr>
      <w:rFonts w:asciiTheme="majorHAnsi" w:eastAsiaTheme="majorEastAsia" w:hAnsiTheme="majorHAnsi" w:cstheme="majorBidi"/>
      <w:b/>
      <w:i/>
      <w:iCs/>
      <w:sz w:val="25"/>
      <w:szCs w:val="26"/>
    </w:rPr>
  </w:style>
  <w:style w:type="character" w:customStyle="1" w:styleId="Heading3Char">
    <w:name w:val="Heading 3 Char"/>
    <w:basedOn w:val="DefaultParagraphFont"/>
    <w:link w:val="Heading3"/>
    <w:uiPriority w:val="14"/>
    <w:rsid w:val="00356EAC"/>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eastAsia="Times New Roman"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rPr>
  </w:style>
  <w:style w:type="character" w:customStyle="1" w:styleId="Heading5Char">
    <w:name w:val="Heading 5 Char"/>
    <w:basedOn w:val="DefaultParagraphFont"/>
    <w:link w:val="Heading5"/>
    <w:uiPriority w:val="14"/>
    <w:rsid w:val="00086208"/>
    <w:rPr>
      <w:rFonts w:asciiTheme="majorHAnsi" w:eastAsiaTheme="majorEastAsia" w:hAnsiTheme="majorHAnsi" w:cstheme="majorBidi"/>
      <w:i/>
      <w:iCs/>
      <w:sz w:val="25"/>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qFormat/>
    <w:rsid w:val="009C4CA5"/>
    <w:pPr>
      <w:ind w:left="1304"/>
    </w:pPr>
  </w:style>
  <w:style w:type="paragraph" w:customStyle="1" w:styleId="Asiakirjatyyppi">
    <w:name w:val="Asiakirjatyyppi"/>
    <w:basedOn w:val="Normal"/>
    <w:uiPriority w:val="99"/>
    <w:semiHidden/>
    <w:rsid w:val="00E80525"/>
    <w:rPr>
      <w:b/>
      <w:sz w:val="18"/>
    </w:rPr>
  </w:style>
  <w:style w:type="paragraph" w:customStyle="1" w:styleId="Asiakirjatiedot">
    <w:name w:val="Asiakirjatiedot"/>
    <w:basedOn w:val="Normal"/>
    <w:next w:val="Normal"/>
    <w:uiPriority w:val="99"/>
    <w:rsid w:val="00E80525"/>
    <w:rPr>
      <w:sz w:val="18"/>
    </w:rPr>
  </w:style>
  <w:style w:type="paragraph" w:styleId="ListNumber2">
    <w:name w:val="List Number 2"/>
    <w:basedOn w:val="Normal"/>
    <w:semiHidden/>
    <w:rsid w:val="0080351B"/>
    <w:pPr>
      <w:numPr>
        <w:ilvl w:val="1"/>
        <w:numId w:val="2"/>
      </w:numPr>
      <w:spacing w:line="340" w:lineRule="atLeast"/>
      <w:ind w:left="3322" w:hanging="357"/>
      <w:contextualSpacing/>
    </w:pPr>
    <w:rPr>
      <w:rFonts w:cs="Calibri"/>
    </w:rPr>
  </w:style>
  <w:style w:type="paragraph" w:styleId="Date">
    <w:name w:val="Date"/>
    <w:basedOn w:val="Normal"/>
    <w:next w:val="Normal"/>
    <w:link w:val="DateChar"/>
    <w:uiPriority w:val="99"/>
    <w:rsid w:val="00A91D48"/>
    <w:pPr>
      <w:jc w:val="center"/>
    </w:pPr>
    <w:rPr>
      <w:sz w:val="24"/>
    </w:rPr>
  </w:style>
  <w:style w:type="character" w:customStyle="1" w:styleId="DateChar">
    <w:name w:val="Date Char"/>
    <w:basedOn w:val="DefaultParagraphFont"/>
    <w:link w:val="Date"/>
    <w:uiPriority w:val="99"/>
    <w:rsid w:val="00A91D48"/>
    <w:rPr>
      <w:sz w:val="24"/>
    </w:rPr>
  </w:style>
  <w:style w:type="paragraph" w:styleId="List">
    <w:name w:val="List"/>
    <w:basedOn w:val="BodyText"/>
    <w:uiPriority w:val="2"/>
    <w:qFormat/>
    <w:rsid w:val="009C4CA5"/>
    <w:pPr>
      <w:numPr>
        <w:numId w:val="3"/>
      </w:numPr>
      <w:ind w:left="357" w:hanging="357"/>
      <w:contextualSpacing/>
    </w:pPr>
    <w:rPr>
      <w:rFonts w:cs="Calibri"/>
    </w:rPr>
  </w:style>
  <w:style w:type="paragraph" w:styleId="Signature">
    <w:name w:val="Signature"/>
    <w:basedOn w:val="BodyText"/>
    <w:link w:val="SignatureChar"/>
    <w:uiPriority w:val="99"/>
    <w:semiHidden/>
    <w:qFormat/>
    <w:rsid w:val="00071632"/>
    <w:pPr>
      <w:spacing w:before="960"/>
    </w:pPr>
  </w:style>
  <w:style w:type="character" w:customStyle="1" w:styleId="SignatureChar">
    <w:name w:val="Signature Char"/>
    <w:basedOn w:val="DefaultParagraphFont"/>
    <w:link w:val="Signature"/>
    <w:uiPriority w:val="99"/>
    <w:semiHidden/>
    <w:rsid w:val="00E31451"/>
  </w:style>
  <w:style w:type="paragraph" w:styleId="List2">
    <w:name w:val="List 2"/>
    <w:basedOn w:val="Normal"/>
    <w:semiHidden/>
    <w:rsid w:val="0080351B"/>
    <w:pPr>
      <w:numPr>
        <w:ilvl w:val="1"/>
        <w:numId w:val="3"/>
      </w:numPr>
      <w:spacing w:line="340" w:lineRule="atLeast"/>
      <w:ind w:left="3322" w:hanging="357"/>
      <w:contextualSpacing/>
    </w:pPr>
    <w:rPr>
      <w:rFonts w:cs="Calibri"/>
    </w:rPr>
  </w:style>
  <w:style w:type="paragraph" w:styleId="List3">
    <w:name w:val="List 3"/>
    <w:basedOn w:val="Normal"/>
    <w:semiHidden/>
    <w:rsid w:val="0080351B"/>
    <w:pPr>
      <w:numPr>
        <w:ilvl w:val="2"/>
        <w:numId w:val="3"/>
      </w:numPr>
      <w:spacing w:line="340" w:lineRule="atLeast"/>
      <w:ind w:left="3680"/>
      <w:contextualSpacing/>
    </w:pPr>
    <w:rPr>
      <w:rFonts w:cs="Calibri"/>
    </w:rPr>
  </w:style>
  <w:style w:type="paragraph" w:styleId="List4">
    <w:name w:val="List 4"/>
    <w:basedOn w:val="Normal"/>
    <w:semiHidden/>
    <w:rsid w:val="0080351B"/>
    <w:pPr>
      <w:numPr>
        <w:ilvl w:val="3"/>
        <w:numId w:val="3"/>
      </w:numPr>
      <w:spacing w:line="340" w:lineRule="atLeast"/>
      <w:ind w:left="4037"/>
      <w:contextualSpacing/>
    </w:pPr>
    <w:rPr>
      <w:rFonts w:cs="Calibri"/>
    </w:rPr>
  </w:style>
  <w:style w:type="paragraph" w:styleId="List5">
    <w:name w:val="List 5"/>
    <w:basedOn w:val="Normal"/>
    <w:semiHidden/>
    <w:rsid w:val="0080351B"/>
    <w:pPr>
      <w:numPr>
        <w:ilvl w:val="4"/>
        <w:numId w:val="3"/>
      </w:numPr>
      <w:spacing w:line="340" w:lineRule="atLeast"/>
      <w:ind w:left="4394"/>
      <w:contextualSpacing/>
    </w:pPr>
    <w:rPr>
      <w:rFonts w:cs="Calibri"/>
    </w:rPr>
  </w:style>
  <w:style w:type="paragraph" w:styleId="ListNumber3">
    <w:name w:val="List Number 3"/>
    <w:basedOn w:val="Normal"/>
    <w:semiHidden/>
    <w:rsid w:val="0080351B"/>
    <w:pPr>
      <w:numPr>
        <w:ilvl w:val="2"/>
        <w:numId w:val="2"/>
      </w:numPr>
      <w:spacing w:line="340" w:lineRule="atLeast"/>
      <w:ind w:left="3680"/>
      <w:contextualSpacing/>
    </w:pPr>
    <w:rPr>
      <w:rFonts w:cs="Calibri"/>
    </w:rPr>
  </w:style>
  <w:style w:type="paragraph" w:styleId="ListNumber4">
    <w:name w:val="List Number 4"/>
    <w:basedOn w:val="Normal"/>
    <w:semiHidden/>
    <w:rsid w:val="0080351B"/>
    <w:pPr>
      <w:numPr>
        <w:ilvl w:val="3"/>
        <w:numId w:val="2"/>
      </w:numPr>
      <w:spacing w:line="340" w:lineRule="atLeast"/>
      <w:ind w:left="4037"/>
      <w:contextualSpacing/>
    </w:pPr>
    <w:rPr>
      <w:rFonts w:cs="Calibri"/>
    </w:rPr>
  </w:style>
  <w:style w:type="paragraph" w:styleId="ListNumber5">
    <w:name w:val="List Number 5"/>
    <w:basedOn w:val="Normal"/>
    <w:semiHidden/>
    <w:rsid w:val="0080351B"/>
    <w:pPr>
      <w:numPr>
        <w:ilvl w:val="4"/>
        <w:numId w:val="2"/>
      </w:numPr>
      <w:spacing w:line="340" w:lineRule="atLeast"/>
      <w:ind w:left="4394"/>
      <w:contextualSpacing/>
    </w:pPr>
    <w:rPr>
      <w:rFonts w:cs="Calibri"/>
    </w:rPr>
  </w:style>
  <w:style w:type="paragraph" w:styleId="TOCHeading">
    <w:name w:val="TOC Heading"/>
    <w:basedOn w:val="Heading1"/>
    <w:next w:val="Normal"/>
    <w:uiPriority w:val="39"/>
    <w:semiHidden/>
    <w:rsid w:val="003D1A14"/>
    <w:pPr>
      <w:spacing w:before="480" w:beforeAutospacing="0" w:after="240"/>
      <w:outlineLvl w:val="9"/>
    </w:pPr>
    <w:rPr>
      <w:rFonts w:cstheme="majorBidi"/>
      <w:bCs w:val="0"/>
      <w:color w:val="2F5496"/>
      <w:sz w:val="28"/>
      <w:szCs w:val="32"/>
      <w:lang w:eastAsia="fi-FI"/>
    </w:rPr>
  </w:style>
  <w:style w:type="paragraph" w:styleId="TOC1">
    <w:name w:val="toc 1"/>
    <w:basedOn w:val="Normal"/>
    <w:next w:val="Normal"/>
    <w:autoRedefine/>
    <w:uiPriority w:val="39"/>
    <w:semiHidden/>
    <w:rsid w:val="003D1A14"/>
    <w:pPr>
      <w:tabs>
        <w:tab w:val="right" w:leader="dot" w:pos="9582"/>
      </w:tabs>
      <w:spacing w:after="100"/>
    </w:pPr>
    <w:rPr>
      <w:b/>
    </w:rPr>
  </w:style>
  <w:style w:type="paragraph" w:styleId="TOC2">
    <w:name w:val="toc 2"/>
    <w:basedOn w:val="Normal"/>
    <w:next w:val="Normal"/>
    <w:autoRedefine/>
    <w:uiPriority w:val="39"/>
    <w:semiHidden/>
    <w:rsid w:val="003D1A14"/>
    <w:pPr>
      <w:tabs>
        <w:tab w:val="right" w:leader="dot" w:pos="9582"/>
      </w:tabs>
      <w:spacing w:after="100"/>
      <w:ind w:left="220"/>
    </w:pPr>
  </w:style>
  <w:style w:type="paragraph" w:styleId="TOC3">
    <w:name w:val="toc 3"/>
    <w:basedOn w:val="Normal"/>
    <w:next w:val="Normal"/>
    <w:autoRedefine/>
    <w:uiPriority w:val="39"/>
    <w:semiHidden/>
    <w:rsid w:val="003D1A14"/>
    <w:pPr>
      <w:tabs>
        <w:tab w:val="right" w:leader="dot" w:pos="9582"/>
      </w:tabs>
      <w:spacing w:after="100"/>
      <w:ind w:left="440"/>
    </w:pPr>
  </w:style>
  <w:style w:type="paragraph" w:customStyle="1" w:styleId="Takakansi">
    <w:name w:val="Takakansi"/>
    <w:basedOn w:val="Normal"/>
    <w:uiPriority w:val="99"/>
    <w:semiHidden/>
    <w:rsid w:val="00194C18"/>
    <w:pPr>
      <w:jc w:val="center"/>
    </w:pPr>
    <w:rPr>
      <w:sz w:val="28"/>
    </w:rPr>
  </w:style>
  <w:style w:type="paragraph" w:styleId="TOC4">
    <w:name w:val="toc 4"/>
    <w:basedOn w:val="Normal"/>
    <w:next w:val="Normal"/>
    <w:autoRedefine/>
    <w:uiPriority w:val="39"/>
    <w:semiHidden/>
    <w:rsid w:val="003D1A14"/>
    <w:pPr>
      <w:tabs>
        <w:tab w:val="right" w:leader="dot" w:pos="9582"/>
      </w:tabs>
      <w:spacing w:after="100"/>
      <w:ind w:left="660"/>
    </w:pPr>
  </w:style>
  <w:style w:type="paragraph" w:styleId="TOC5">
    <w:name w:val="toc 5"/>
    <w:basedOn w:val="Normal"/>
    <w:next w:val="Normal"/>
    <w:autoRedefine/>
    <w:uiPriority w:val="39"/>
    <w:semiHidden/>
    <w:rsid w:val="003D1A14"/>
    <w:pPr>
      <w:tabs>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PageNumber">
    <w:name w:val="page number"/>
    <w:basedOn w:val="DefaultParagraphFont"/>
    <w:uiPriority w:val="99"/>
    <w:rsid w:val="008B603C"/>
    <w:rPr>
      <w:rFonts w:asciiTheme="minorHAnsi" w:hAnsiTheme="minorHAnsi"/>
      <w:sz w:val="22"/>
    </w:rPr>
  </w:style>
  <w:style w:type="character" w:styleId="UnresolvedMention">
    <w:name w:val="Unresolved Mention"/>
    <w:basedOn w:val="DefaultParagraphFont"/>
    <w:uiPriority w:val="99"/>
    <w:semiHidden/>
    <w:unhideWhenUsed/>
    <w:rsid w:val="00B755CA"/>
    <w:rPr>
      <w:color w:val="605E5C"/>
      <w:shd w:val="clear" w:color="auto" w:fill="E1DFDD"/>
    </w:rPr>
  </w:style>
  <w:style w:type="table" w:customStyle="1" w:styleId="TableGrid1">
    <w:name w:val="Table Grid1"/>
    <w:basedOn w:val="TableNormal"/>
    <w:next w:val="TableGrid"/>
    <w:uiPriority w:val="39"/>
    <w:rsid w:val="004557A8"/>
    <w:rPr>
      <w:rFonts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4557A8"/>
    <w:pPr>
      <w:ind w:left="720"/>
      <w:contextualSpacing/>
    </w:pPr>
  </w:style>
  <w:style w:type="paragraph" w:styleId="Caption">
    <w:name w:val="caption"/>
    <w:basedOn w:val="Normal"/>
    <w:next w:val="Normal"/>
    <w:uiPriority w:val="35"/>
    <w:unhideWhenUsed/>
    <w:qFormat/>
    <w:rsid w:val="00050301"/>
    <w:pPr>
      <w:spacing w:after="200" w:line="240" w:lineRule="auto"/>
    </w:pPr>
    <w:rPr>
      <w:i/>
      <w:iCs/>
      <w:color w:val="595959" w:themeColor="text2"/>
      <w:sz w:val="18"/>
      <w:szCs w:val="18"/>
    </w:rPr>
  </w:style>
  <w:style w:type="paragraph" w:customStyle="1" w:styleId="paragraph">
    <w:name w:val="paragraph"/>
    <w:basedOn w:val="Normal"/>
    <w:rsid w:val="0014733B"/>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14733B"/>
  </w:style>
  <w:style w:type="character" w:customStyle="1" w:styleId="eop">
    <w:name w:val="eop"/>
    <w:basedOn w:val="DefaultParagraphFont"/>
    <w:rsid w:val="0014733B"/>
  </w:style>
  <w:style w:type="character" w:styleId="FollowedHyperlink">
    <w:name w:val="FollowedHyperlink"/>
    <w:basedOn w:val="DefaultParagraphFont"/>
    <w:uiPriority w:val="99"/>
    <w:semiHidden/>
    <w:unhideWhenUsed/>
    <w:rsid w:val="00427621"/>
    <w:rPr>
      <w:color w:val="954F72" w:themeColor="followedHyperlink"/>
      <w:u w:val="single"/>
    </w:rPr>
  </w:style>
  <w:style w:type="character" w:customStyle="1" w:styleId="spellingerror">
    <w:name w:val="spellingerror"/>
    <w:basedOn w:val="DefaultParagraphFont"/>
    <w:rsid w:val="0015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37090">
          <w:marLeft w:val="0"/>
          <w:marRight w:val="0"/>
          <w:marTop w:val="0"/>
          <w:marBottom w:val="0"/>
          <w:divBdr>
            <w:top w:val="none" w:sz="0" w:space="0" w:color="auto"/>
            <w:left w:val="none" w:sz="0" w:space="0" w:color="auto"/>
            <w:bottom w:val="none" w:sz="0" w:space="0" w:color="auto"/>
            <w:right w:val="none" w:sz="0" w:space="0" w:color="auto"/>
          </w:divBdr>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84776134">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06387078">
      <w:bodyDiv w:val="1"/>
      <w:marLeft w:val="0"/>
      <w:marRight w:val="0"/>
      <w:marTop w:val="0"/>
      <w:marBottom w:val="0"/>
      <w:divBdr>
        <w:top w:val="none" w:sz="0" w:space="0" w:color="auto"/>
        <w:left w:val="none" w:sz="0" w:space="0" w:color="auto"/>
        <w:bottom w:val="none" w:sz="0" w:space="0" w:color="auto"/>
        <w:right w:val="none" w:sz="0" w:space="0" w:color="auto"/>
      </w:divBdr>
    </w:div>
    <w:div w:id="2010908551">
      <w:bodyDiv w:val="1"/>
      <w:marLeft w:val="0"/>
      <w:marRight w:val="0"/>
      <w:marTop w:val="0"/>
      <w:marBottom w:val="0"/>
      <w:divBdr>
        <w:top w:val="none" w:sz="0" w:space="0" w:color="auto"/>
        <w:left w:val="none" w:sz="0" w:space="0" w:color="auto"/>
        <w:bottom w:val="none" w:sz="0" w:space="0" w:color="auto"/>
        <w:right w:val="none" w:sz="0" w:space="0" w:color="auto"/>
      </w:divBdr>
      <w:divsChild>
        <w:div w:id="204243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u.fi/fi/avoin-yliopisto-opetus/opintotarjonta/tekoalyakatemia/tekoaly" TargetMode="External"/><Relationship Id="rId13" Type="http://schemas.openxmlformats.org/officeDocument/2006/relationships/hyperlink" Target="https://sleepandwork.karelia.fi/tyokirja/tyoyhteison-uniterveyden-polku/" TargetMode="External"/><Relationship Id="rId18" Type="http://schemas.openxmlformats.org/officeDocument/2006/relationships/hyperlink" Target="https://www.sitra.fi/hankkeet/tyokalut-digisaantelyn-soveltamiseen-liiketoiminnassa/" TargetMode="External"/><Relationship Id="rId26" Type="http://schemas.openxmlformats.org/officeDocument/2006/relationships/hyperlink" Target="https://eur-lex.europa.eu/legal-content/FI/TXT/HTML/?uri=OJ:L_202401689" TargetMode="External"/><Relationship Id="rId39" Type="http://schemas.openxmlformats.org/officeDocument/2006/relationships/hyperlink" Target="https://aistandardshub.org/" TargetMode="External"/><Relationship Id="rId3" Type="http://schemas.openxmlformats.org/officeDocument/2006/relationships/styles" Target="styles.xml"/><Relationship Id="rId21" Type="http://schemas.openxmlformats.org/officeDocument/2006/relationships/hyperlink" Target="https://tivia.fi/en/toimiala/etiikan-ohjeet" TargetMode="External"/><Relationship Id="rId34" Type="http://schemas.openxmlformats.org/officeDocument/2006/relationships/hyperlink" Target="https://eur-lex.europa.eu/legal-content/FI/TXT/HTML/?uri=OJ:L_202401689" TargetMode="External"/><Relationship Id="rId42" Type="http://schemas.openxmlformats.org/officeDocument/2006/relationships/hyperlink" Target="https://www.edpb.europa.eu/our-work-tools/our-documents/support-pool-experts-projects/ai-auditing_e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k.fi/julkaisu/eettinen-kuormitus-tyossa/" TargetMode="External"/><Relationship Id="rId17" Type="http://schemas.openxmlformats.org/officeDocument/2006/relationships/hyperlink" Target="https://artificialintelligenceact.eu/" TargetMode="External"/><Relationship Id="rId25" Type="http://schemas.openxmlformats.org/officeDocument/2006/relationships/hyperlink" Target="https://en.wikipedia.org/wiki/Ethics" TargetMode="External"/><Relationship Id="rId33" Type="http://schemas.openxmlformats.org/officeDocument/2006/relationships/hyperlink" Target="https://eur-lex.europa.eu/legal-content/FI/TXT/HTML/?uri=OJ:L_202401689" TargetMode="External"/><Relationship Id="rId38" Type="http://schemas.openxmlformats.org/officeDocument/2006/relationships/hyperlink" Target="https://oecd.ai/en/catalogue/overview"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lex.europa.eu/eli/reg/2024/1689/oj/eng" TargetMode="External"/><Relationship Id="rId20" Type="http://schemas.openxmlformats.org/officeDocument/2006/relationships/hyperlink" Target="https://www.ieee.org/content/dam/ieee-org/ieee/web/org/about/corporate/ieee-code-of-ethics.pdf" TargetMode="External"/><Relationship Id="rId29" Type="http://schemas.openxmlformats.org/officeDocument/2006/relationships/hyperlink" Target="https://eur-lex.europa.eu/legal-content/FI/TXT/HTML/?uri=OJ:L_202401689" TargetMode="External"/><Relationship Id="rId41" Type="http://schemas.openxmlformats.org/officeDocument/2006/relationships/hyperlink" Target="https://airisk.mi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edukamu.fi/practical-ai-fi" TargetMode="External"/><Relationship Id="rId24" Type="http://schemas.openxmlformats.org/officeDocument/2006/relationships/hyperlink" Target="https://en.wikipedia.org/wiki/Normative_ethics" TargetMode="External"/><Relationship Id="rId32" Type="http://schemas.openxmlformats.org/officeDocument/2006/relationships/hyperlink" Target="https://eur-lex.europa.eu/legal-content/FI/TXT/HTML/?uri=OJ:L_202401689" TargetMode="External"/><Relationship Id="rId37" Type="http://schemas.openxmlformats.org/officeDocument/2006/relationships/hyperlink" Target="https://www.sitra.fi/hankkeet/tyokalut-digisaantelyn-soveltamiseen-liiketoiminnassa/" TargetMode="External"/><Relationship Id="rId40" Type="http://schemas.openxmlformats.org/officeDocument/2006/relationships/hyperlink" Target="https://www.turing.ac.uk/research/research-projects/ai-ethics-and-governance-practic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yvatyo.ttl.fi/mielenterveyden-tyokalupakki/tyokalut/tyopaikan-resilienssityokalusarja/uhkiin-varautumisen-tyokalu" TargetMode="External"/><Relationship Id="rId23" Type="http://schemas.openxmlformats.org/officeDocument/2006/relationships/hyperlink" Target="https://ethics-of-ai.mooc.fi/" TargetMode="External"/><Relationship Id="rId28" Type="http://schemas.openxmlformats.org/officeDocument/2006/relationships/hyperlink" Target="https://eur-lex.europa.eu/legal-content/FI/TXT/HTML/?uri=OJ:L_202401689" TargetMode="External"/><Relationship Id="rId36" Type="http://schemas.openxmlformats.org/officeDocument/2006/relationships/hyperlink" Target="https://www.vischer.com/en/knowledge/blog/gaira-now-with-an-ai-act-check-an-additional-dpia-and-in-german/" TargetMode="External"/><Relationship Id="rId10" Type="http://schemas.openxmlformats.org/officeDocument/2006/relationships/hyperlink" Target="https://buildingai.elementsofai.com/" TargetMode="External"/><Relationship Id="rId19" Type="http://schemas.openxmlformats.org/officeDocument/2006/relationships/hyperlink" Target="https://www.acm.org/code-of-ethics" TargetMode="External"/><Relationship Id="rId31" Type="http://schemas.openxmlformats.org/officeDocument/2006/relationships/hyperlink" Target="https://eur-lex.europa.eu/legal-content/FI/TXT/HTML/?uri=OJ:L_20240168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urse.elementsofai.com/fi/" TargetMode="External"/><Relationship Id="rId14" Type="http://schemas.openxmlformats.org/officeDocument/2006/relationships/hyperlink" Target="https://www.suomi.fi/oppaat/tyokyvyn-tukeminen/muistilista" TargetMode="External"/><Relationship Id="rId22" Type="http://schemas.openxmlformats.org/officeDocument/2006/relationships/hyperlink" Target="https://www.youtube.com/watch?v=Xki2fRA0bY8" TargetMode="External"/><Relationship Id="rId27" Type="http://schemas.openxmlformats.org/officeDocument/2006/relationships/hyperlink" Target="https://eur-lex.europa.eu/legal-content/FI/TXT/HTML/?uri=OJ:L_202401689" TargetMode="External"/><Relationship Id="rId30" Type="http://schemas.openxmlformats.org/officeDocument/2006/relationships/hyperlink" Target="https://eur-lex.europa.eu/legal-content/FI/TXT/HTML/?uri=OJ:L_202401689" TargetMode="External"/><Relationship Id="rId35" Type="http://schemas.openxmlformats.org/officeDocument/2006/relationships/hyperlink" Target="https://eur-lex.europa.eu/legal-content/FI/TXT/HTML/?uri=OJ:L_202401689"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asilitaattori@mall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knj\Downloads\FI_TEM_asiakirjapohja%20(1).dotx" TargetMode="External"/></Relationships>
</file>

<file path=word/theme/theme1.xml><?xml version="1.0" encoding="utf-8"?>
<a:theme xmlns:a="http://schemas.openxmlformats.org/drawingml/2006/main" name="Office-teema">
  <a:themeElements>
    <a:clrScheme name="EUrahastot TEM">
      <a:dk1>
        <a:sysClr val="windowText" lastClr="000000"/>
      </a:dk1>
      <a:lt1>
        <a:sysClr val="window" lastClr="FFFFFF"/>
      </a:lt1>
      <a:dk2>
        <a:srgbClr val="595959"/>
      </a:dk2>
      <a:lt2>
        <a:srgbClr val="E7E6E6"/>
      </a:lt2>
      <a:accent1>
        <a:srgbClr val="31E1E9"/>
      </a:accent1>
      <a:accent2>
        <a:srgbClr val="FFD3B1"/>
      </a:accent2>
      <a:accent3>
        <a:srgbClr val="767171"/>
      </a:accent3>
      <a:accent4>
        <a:srgbClr val="BFBFBF"/>
      </a:accent4>
      <a:accent5>
        <a:srgbClr val="98F0F4"/>
      </a:accent5>
      <a:accent6>
        <a:srgbClr val="FFE9D7"/>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E3FC-4792-4CFC-9A4D-54651D07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FI_TEM_asiakirjapohja (1).dotx</Template>
  <TotalTime>33</TotalTime>
  <Pages>13</Pages>
  <Words>2744</Words>
  <Characters>22230</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
    </vt:vector>
  </TitlesOfParts>
  <Company>TEM</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 Knaapi-Junnila</dc:creator>
  <cp:lastModifiedBy>Hannu Salmela</cp:lastModifiedBy>
  <cp:revision>3</cp:revision>
  <dcterms:created xsi:type="dcterms:W3CDTF">2026-05-12T12:18:00Z</dcterms:created>
  <dcterms:modified xsi:type="dcterms:W3CDTF">2026-05-12T12:51:00Z</dcterms:modified>
</cp:coreProperties>
</file>